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E03E" w14:textId="77777777" w:rsidR="00AD639C" w:rsidRPr="00EC0D41" w:rsidRDefault="00AD639C" w:rsidP="00B36790">
      <w:pPr>
        <w:pStyle w:val="Heading1"/>
        <w:spacing w:before="0"/>
      </w:pPr>
      <w:r w:rsidRPr="00431AD7">
        <w:t>BACK TO SCHOOL MATH RESOURCES</w:t>
      </w:r>
      <w:r>
        <w:t xml:space="preserve"> </w:t>
      </w:r>
      <w:r w:rsidRPr="00EC0D41">
        <w:rPr>
          <w:sz w:val="24"/>
          <w:szCs w:val="24"/>
        </w:rPr>
        <w:t xml:space="preserve">(updated </w:t>
      </w:r>
      <w:r>
        <w:rPr>
          <w:sz w:val="24"/>
          <w:szCs w:val="24"/>
        </w:rPr>
        <w:t>Sept. 2025</w:t>
      </w:r>
      <w:r w:rsidRPr="00EC0D41">
        <w:rPr>
          <w:sz w:val="24"/>
          <w:szCs w:val="24"/>
        </w:rPr>
        <w:t>)</w:t>
      </w:r>
    </w:p>
    <w:p w14:paraId="287A9947" w14:textId="77777777" w:rsidR="00AD639C" w:rsidRPr="008063DE" w:rsidRDefault="00AD639C" w:rsidP="00AD639C">
      <w:pPr>
        <w:spacing w:after="0" w:line="240" w:lineRule="auto"/>
        <w:jc w:val="both"/>
        <w:rPr>
          <w:rFonts w:ascii="Calibri" w:hAnsi="Calibri" w:cs="Calibri"/>
          <w:sz w:val="10"/>
          <w:szCs w:val="10"/>
        </w:rPr>
      </w:pPr>
    </w:p>
    <w:p w14:paraId="61B074BE" w14:textId="53F2E651" w:rsidR="00555709" w:rsidRPr="000660D1" w:rsidRDefault="00555709" w:rsidP="00041EF7">
      <w:pPr>
        <w:spacing w:after="60" w:line="240" w:lineRule="auto"/>
        <w:jc w:val="both"/>
        <w:rPr>
          <w:rFonts w:ascii="Calibri" w:hAnsi="Calibri" w:cs="Calibri"/>
        </w:rPr>
      </w:pPr>
      <w:r w:rsidRPr="000660D1">
        <w:rPr>
          <w:rFonts w:ascii="Calibri" w:hAnsi="Calibri" w:cs="Calibri"/>
        </w:rPr>
        <w:t xml:space="preserve">As you start a new school year, know that the </w:t>
      </w:r>
      <w:r w:rsidRPr="000660D1">
        <w:rPr>
          <w:rFonts w:ascii="Calibri" w:hAnsi="Calibri" w:cs="Calibri"/>
          <w:b/>
          <w:bCs/>
        </w:rPr>
        <w:t xml:space="preserve">SABES Mathematics and Adult Numeracy Curriculum &amp; Instruction PD </w:t>
      </w:r>
      <w:r w:rsidR="00101E0F">
        <w:rPr>
          <w:rFonts w:ascii="Calibri" w:hAnsi="Calibri" w:cs="Calibri"/>
          <w:b/>
          <w:bCs/>
        </w:rPr>
        <w:t>Team</w:t>
      </w:r>
      <w:r w:rsidRPr="000660D1">
        <w:rPr>
          <w:rFonts w:ascii="Calibri" w:hAnsi="Calibri" w:cs="Calibri"/>
        </w:rPr>
        <w:t xml:space="preserve"> has you covered in the math department</w:t>
      </w:r>
      <w:r w:rsidR="00EE2BEE">
        <w:rPr>
          <w:rFonts w:ascii="Calibri" w:hAnsi="Calibri" w:cs="Calibri"/>
        </w:rPr>
        <w:t xml:space="preserve">, including with </w:t>
      </w:r>
      <w:hyperlink r:id="rId7" w:history="1">
        <w:r w:rsidR="00EE2BEE" w:rsidRPr="00EE2BEE">
          <w:rPr>
            <w:rStyle w:val="Hyperlink"/>
            <w:rFonts w:ascii="Calibri" w:hAnsi="Calibri" w:cs="Calibri"/>
          </w:rPr>
          <w:t>Professional Development Points (PDPs)</w:t>
        </w:r>
      </w:hyperlink>
      <w:r w:rsidRPr="000660D1">
        <w:rPr>
          <w:rFonts w:ascii="Calibri" w:hAnsi="Calibri" w:cs="Calibri"/>
        </w:rPr>
        <w:t xml:space="preserve">. Below you’ll find a list of </w:t>
      </w:r>
      <w:hyperlink r:id="rId8" w:history="1">
        <w:r w:rsidRPr="000660D1">
          <w:rPr>
            <w:rStyle w:val="Hyperlink"/>
            <w:rFonts w:ascii="Calibri" w:hAnsi="Calibri" w:cs="Calibri"/>
          </w:rPr>
          <w:t>high-quality math PD</w:t>
        </w:r>
      </w:hyperlink>
      <w:r w:rsidRPr="000660D1">
        <w:rPr>
          <w:rFonts w:ascii="Calibri" w:hAnsi="Calibri" w:cs="Calibri"/>
        </w:rPr>
        <w:t xml:space="preserve"> opportunities</w:t>
      </w:r>
      <w:r w:rsidR="004F45C9" w:rsidRPr="000660D1">
        <w:rPr>
          <w:rFonts w:ascii="Calibri" w:hAnsi="Calibri" w:cs="Calibri"/>
        </w:rPr>
        <w:t xml:space="preserve"> and</w:t>
      </w:r>
      <w:r w:rsidRPr="000660D1">
        <w:rPr>
          <w:rFonts w:ascii="Calibri" w:hAnsi="Calibri" w:cs="Calibri"/>
        </w:rPr>
        <w:t xml:space="preserve"> instructional materials</w:t>
      </w:r>
      <w:r w:rsidR="004F45C9" w:rsidRPr="000660D1">
        <w:rPr>
          <w:rFonts w:ascii="Calibri" w:hAnsi="Calibri" w:cs="Calibri"/>
        </w:rPr>
        <w:t xml:space="preserve"> </w:t>
      </w:r>
      <w:r w:rsidRPr="000660D1">
        <w:rPr>
          <w:rFonts w:ascii="Calibri" w:hAnsi="Calibri" w:cs="Calibri"/>
        </w:rPr>
        <w:t xml:space="preserve">and strategies designed to help engage your ABE, HSE, English learners, and ESOL students. </w:t>
      </w:r>
      <w:r w:rsidR="006C7405" w:rsidRPr="000660D1">
        <w:rPr>
          <w:rFonts w:ascii="Calibri" w:hAnsi="Calibri" w:cs="Calibri"/>
        </w:rPr>
        <w:t>All</w:t>
      </w:r>
      <w:r w:rsidRPr="000660D1">
        <w:rPr>
          <w:rFonts w:ascii="Calibri" w:hAnsi="Calibri" w:cs="Calibri"/>
        </w:rPr>
        <w:t xml:space="preserve"> resources align with the </w:t>
      </w:r>
      <w:hyperlink r:id="rId9" w:history="1">
        <w:r w:rsidR="000776F0" w:rsidRPr="000660D1">
          <w:rPr>
            <w:rStyle w:val="Hyperlink"/>
            <w:rFonts w:ascii="Calibri" w:hAnsi="Calibri" w:cs="Calibri"/>
            <w:i/>
            <w:iCs/>
          </w:rPr>
          <w:t>MA Professional Standards for Teachers of Adult Basic Education</w:t>
        </w:r>
      </w:hyperlink>
      <w:r w:rsidR="004F45C9" w:rsidRPr="000660D1">
        <w:rPr>
          <w:rFonts w:ascii="Calibri" w:hAnsi="Calibri" w:cs="Calibri"/>
        </w:rPr>
        <w:t xml:space="preserve"> and the </w:t>
      </w:r>
      <w:hyperlink r:id="rId10" w:history="1">
        <w:r w:rsidR="004F45C9" w:rsidRPr="000660D1">
          <w:rPr>
            <w:rStyle w:val="Hyperlink"/>
            <w:rFonts w:ascii="Calibri" w:hAnsi="Calibri" w:cs="Calibri"/>
          </w:rPr>
          <w:t>College and Career Readiness Standards for Adult Education (CCRSAE)</w:t>
        </w:r>
      </w:hyperlink>
      <w:r w:rsidR="00B6122F">
        <w:t xml:space="preserve"> for mathematics</w:t>
      </w:r>
      <w:r w:rsidR="004F45C9" w:rsidRPr="000660D1">
        <w:rPr>
          <w:rFonts w:ascii="Calibri" w:hAnsi="Calibri" w:cs="Calibri"/>
        </w:rPr>
        <w:t>.</w:t>
      </w:r>
      <w:r w:rsidR="00CF280F" w:rsidRPr="000660D1">
        <w:rPr>
          <w:rFonts w:ascii="Calibri" w:hAnsi="Calibri" w:cs="Calibri"/>
        </w:rPr>
        <w:t xml:space="preserve"> We also offer one-on-one and team </w:t>
      </w:r>
      <w:r w:rsidR="00CF280F" w:rsidRPr="00101E0F">
        <w:rPr>
          <w:rFonts w:ascii="Calibri" w:hAnsi="Calibri" w:cs="Calibri"/>
          <w:b/>
          <w:bCs/>
        </w:rPr>
        <w:t>coaching</w:t>
      </w:r>
      <w:r w:rsidR="00CF280F" w:rsidRPr="000660D1">
        <w:rPr>
          <w:rFonts w:ascii="Calibri" w:hAnsi="Calibri" w:cs="Calibri"/>
        </w:rPr>
        <w:t xml:space="preserve"> and </w:t>
      </w:r>
      <w:r w:rsidR="00CF280F" w:rsidRPr="00101E0F">
        <w:rPr>
          <w:rFonts w:ascii="Calibri" w:hAnsi="Calibri" w:cs="Calibri"/>
          <w:b/>
          <w:bCs/>
        </w:rPr>
        <w:t>customized PD</w:t>
      </w:r>
      <w:r w:rsidR="00CF280F" w:rsidRPr="000660D1">
        <w:rPr>
          <w:rFonts w:ascii="Calibri" w:hAnsi="Calibri" w:cs="Calibri"/>
        </w:rPr>
        <w:t xml:space="preserve">, so look to the SABES Math </w:t>
      </w:r>
      <w:r w:rsidR="00101E0F">
        <w:rPr>
          <w:rFonts w:ascii="Calibri" w:hAnsi="Calibri" w:cs="Calibri"/>
        </w:rPr>
        <w:t>Team</w:t>
      </w:r>
      <w:r w:rsidR="00CF280F" w:rsidRPr="000660D1">
        <w:rPr>
          <w:rFonts w:ascii="Calibri" w:hAnsi="Calibri" w:cs="Calibri"/>
        </w:rPr>
        <w:t xml:space="preserve"> for all your math instruction needs</w:t>
      </w:r>
      <w:r w:rsidR="0005274C">
        <w:rPr>
          <w:rFonts w:ascii="Calibri" w:hAnsi="Calibri" w:cs="Calibri"/>
        </w:rPr>
        <w:t>!</w:t>
      </w:r>
    </w:p>
    <w:tbl>
      <w:tblPr>
        <w:tblStyle w:val="GridTable4-Accent2"/>
        <w:tblW w:w="14413"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top w:w="29" w:type="dxa"/>
          <w:left w:w="29" w:type="dxa"/>
          <w:bottom w:w="29" w:type="dxa"/>
          <w:right w:w="29" w:type="dxa"/>
        </w:tblCellMar>
        <w:tblLook w:val="04A0" w:firstRow="1" w:lastRow="0" w:firstColumn="1" w:lastColumn="0" w:noHBand="0" w:noVBand="1"/>
      </w:tblPr>
      <w:tblGrid>
        <w:gridCol w:w="2602"/>
        <w:gridCol w:w="7188"/>
        <w:gridCol w:w="4601"/>
        <w:gridCol w:w="22"/>
      </w:tblGrid>
      <w:tr w:rsidR="00FF7712" w:rsidRPr="00796D11" w14:paraId="31516BF9" w14:textId="77777777" w:rsidTr="00CD5DE7">
        <w:trPr>
          <w:gridAfter w:val="1"/>
          <w:cnfStyle w:val="100000000000" w:firstRow="1" w:lastRow="0" w:firstColumn="0" w:lastColumn="0" w:oddVBand="0" w:evenVBand="0" w:oddHBand="0" w:evenHBand="0" w:firstRowFirstColumn="0" w:firstRowLastColumn="0" w:lastRowFirstColumn="0" w:lastRowLastColumn="0"/>
          <w:wAfter w:w="22" w:type="dxa"/>
          <w:tblHeader/>
          <w:jc w:val="center"/>
        </w:trPr>
        <w:tc>
          <w:tcPr>
            <w:cnfStyle w:val="001000000000" w:firstRow="0" w:lastRow="0" w:firstColumn="1" w:lastColumn="0" w:oddVBand="0" w:evenVBand="0" w:oddHBand="0" w:evenHBand="0" w:firstRowFirstColumn="0" w:firstRowLastColumn="0" w:lastRowFirstColumn="0" w:lastRowLastColumn="0"/>
            <w:tcW w:w="2605" w:type="dxa"/>
            <w:tcBorders>
              <w:top w:val="none" w:sz="0" w:space="0" w:color="auto"/>
              <w:left w:val="none" w:sz="0" w:space="0" w:color="auto"/>
              <w:bottom w:val="none" w:sz="0" w:space="0" w:color="auto"/>
              <w:right w:val="none" w:sz="0" w:space="0" w:color="auto"/>
            </w:tcBorders>
            <w:shd w:val="clear" w:color="auto" w:fill="C45911" w:themeFill="accent2" w:themeFillShade="BF"/>
            <w:vAlign w:val="center"/>
          </w:tcPr>
          <w:p w14:paraId="1ADB6E8C" w14:textId="0221956B" w:rsidR="00FF7712" w:rsidRPr="00431AD7" w:rsidRDefault="00C55683" w:rsidP="00CD5DE7">
            <w:pPr>
              <w:pStyle w:val="Heading2"/>
              <w:snapToGrid w:val="0"/>
              <w:spacing w:before="40" w:after="40"/>
              <w:rPr>
                <w:b/>
                <w:bCs/>
              </w:rPr>
            </w:pPr>
            <w:r w:rsidRPr="00431AD7">
              <w:rPr>
                <w:b/>
                <w:bCs/>
              </w:rPr>
              <w:t>NAME</w:t>
            </w:r>
          </w:p>
        </w:tc>
        <w:tc>
          <w:tcPr>
            <w:tcW w:w="7200" w:type="dxa"/>
            <w:tcBorders>
              <w:top w:val="none" w:sz="0" w:space="0" w:color="auto"/>
              <w:left w:val="none" w:sz="0" w:space="0" w:color="auto"/>
              <w:bottom w:val="none" w:sz="0" w:space="0" w:color="auto"/>
              <w:right w:val="none" w:sz="0" w:space="0" w:color="auto"/>
            </w:tcBorders>
            <w:shd w:val="clear" w:color="auto" w:fill="C45911" w:themeFill="accent2" w:themeFillShade="BF"/>
            <w:vAlign w:val="center"/>
          </w:tcPr>
          <w:p w14:paraId="6F2CC2D4" w14:textId="5ADFD05C" w:rsidR="00FF7712" w:rsidRPr="00EC1EE2" w:rsidRDefault="00C55683" w:rsidP="00CD5DE7">
            <w:pPr>
              <w:pStyle w:val="Heading2"/>
              <w:snapToGrid w:val="0"/>
              <w:spacing w:before="40" w:after="40"/>
              <w:cnfStyle w:val="100000000000" w:firstRow="1" w:lastRow="0" w:firstColumn="0" w:lastColumn="0" w:oddVBand="0" w:evenVBand="0" w:oddHBand="0" w:evenHBand="0" w:firstRowFirstColumn="0" w:firstRowLastColumn="0" w:lastRowFirstColumn="0" w:lastRowLastColumn="0"/>
              <w:rPr>
                <w:b/>
                <w:bCs/>
              </w:rPr>
            </w:pPr>
            <w:r w:rsidRPr="00EC1EE2">
              <w:rPr>
                <w:b/>
                <w:bCs/>
              </w:rPr>
              <w:t>DESCRIPTION</w:t>
            </w:r>
          </w:p>
        </w:tc>
        <w:tc>
          <w:tcPr>
            <w:tcW w:w="4608" w:type="dxa"/>
            <w:tcBorders>
              <w:top w:val="none" w:sz="0" w:space="0" w:color="auto"/>
              <w:left w:val="none" w:sz="0" w:space="0" w:color="auto"/>
              <w:bottom w:val="none" w:sz="0" w:space="0" w:color="auto"/>
              <w:right w:val="none" w:sz="0" w:space="0" w:color="auto"/>
            </w:tcBorders>
            <w:shd w:val="clear" w:color="auto" w:fill="C45911" w:themeFill="accent2" w:themeFillShade="BF"/>
            <w:vAlign w:val="center"/>
          </w:tcPr>
          <w:p w14:paraId="233B3448" w14:textId="2E8B1FA7" w:rsidR="00FF7712" w:rsidRPr="00EC1EE2" w:rsidRDefault="00C55683" w:rsidP="00CD5DE7">
            <w:pPr>
              <w:pStyle w:val="Heading2"/>
              <w:snapToGrid w:val="0"/>
              <w:spacing w:before="40" w:after="40"/>
              <w:cnfStyle w:val="100000000000" w:firstRow="1" w:lastRow="0" w:firstColumn="0" w:lastColumn="0" w:oddVBand="0" w:evenVBand="0" w:oddHBand="0" w:evenHBand="0" w:firstRowFirstColumn="0" w:firstRowLastColumn="0" w:lastRowFirstColumn="0" w:lastRowLastColumn="0"/>
              <w:rPr>
                <w:b/>
                <w:bCs/>
              </w:rPr>
            </w:pPr>
            <w:r w:rsidRPr="00EC1EE2">
              <w:rPr>
                <w:b/>
                <w:bCs/>
              </w:rPr>
              <w:t>LINK</w:t>
            </w:r>
          </w:p>
        </w:tc>
      </w:tr>
      <w:tr w:rsidR="00AC0D72" w:rsidRPr="00796D11" w14:paraId="4F25FCB1" w14:textId="77777777" w:rsidTr="00CD5DE7">
        <w:trPr>
          <w:gridAfter w:val="1"/>
          <w:cnfStyle w:val="000000100000" w:firstRow="0" w:lastRow="0" w:firstColumn="0" w:lastColumn="0" w:oddVBand="0" w:evenVBand="0" w:oddHBand="1"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shd w:val="clear" w:color="auto" w:fill="F7CAAC" w:themeFill="accent2" w:themeFillTint="66"/>
            <w:vAlign w:val="center"/>
          </w:tcPr>
          <w:p w14:paraId="46F0A090" w14:textId="48EE68D1" w:rsidR="00AC0D72" w:rsidRPr="00EB1591" w:rsidRDefault="00AC0D72" w:rsidP="00EB1591">
            <w:pPr>
              <w:pStyle w:val="Heading3"/>
            </w:pPr>
            <w:proofErr w:type="spellStart"/>
            <w:r w:rsidRPr="00EB1591">
              <w:t>BeCALM</w:t>
            </w:r>
            <w:proofErr w:type="spellEnd"/>
            <w:r w:rsidR="00536316" w:rsidRPr="00EB1591">
              <w:t xml:space="preserve"> Remote-Ready Curriculum for Beginning Math Students</w:t>
            </w:r>
            <w:r w:rsidR="00101E0F" w:rsidRPr="00EB1591">
              <w:t xml:space="preserve"> (GLE 2-4) series</w:t>
            </w:r>
          </w:p>
        </w:tc>
        <w:tc>
          <w:tcPr>
            <w:tcW w:w="7200" w:type="dxa"/>
            <w:tcBorders>
              <w:bottom w:val="single" w:sz="4" w:space="0" w:color="auto"/>
            </w:tcBorders>
            <w:shd w:val="clear" w:color="auto" w:fill="auto"/>
            <w:vAlign w:val="center"/>
          </w:tcPr>
          <w:p w14:paraId="53DD96DA" w14:textId="79C4D903" w:rsidR="00AC0D72" w:rsidRPr="0048454B" w:rsidRDefault="005011E3" w:rsidP="003F40D6">
            <w:pPr>
              <w:snapToGrid w:val="0"/>
              <w:spacing w:before="80" w:after="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sidRPr="0048454B">
              <w:rPr>
                <w:rFonts w:ascii="Calibri" w:hAnsi="Calibri" w:cs="Calibri"/>
                <w:color w:val="000000"/>
                <w:shd w:val="clear" w:color="auto" w:fill="FFFFFF"/>
              </w:rPr>
              <w:t>This collection includes teacher and student materials that can be downloaded as Word doc</w:t>
            </w:r>
            <w:r w:rsidR="00C81B6A" w:rsidRPr="0048454B">
              <w:rPr>
                <w:rFonts w:ascii="Calibri" w:hAnsi="Calibri" w:cs="Calibri"/>
                <w:color w:val="000000"/>
                <w:shd w:val="clear" w:color="auto" w:fill="FFFFFF"/>
              </w:rPr>
              <w:t>s</w:t>
            </w:r>
            <w:r w:rsidRPr="0048454B">
              <w:rPr>
                <w:rFonts w:ascii="Calibri" w:hAnsi="Calibri" w:cs="Calibri"/>
                <w:color w:val="000000"/>
                <w:shd w:val="clear" w:color="auto" w:fill="FFFFFF"/>
              </w:rPr>
              <w:t xml:space="preserve"> or PDFs. The math content is aimed at ABE level math students (approximately GLE 2–4). While adult students at this math level may have any level of reading, the student materials were designed to be used by adults with a reading level GLE 2 or above. Appropriate for use with students at an ABE reading level or beginning to intermediate English Language Learners.</w:t>
            </w:r>
          </w:p>
          <w:p w14:paraId="184C7EF2" w14:textId="5AA3C6B6" w:rsidR="000660B2" w:rsidRPr="00655FCA" w:rsidRDefault="0060641E" w:rsidP="003F40D6">
            <w:pPr>
              <w:snapToGrid w:val="0"/>
              <w:spacing w:before="80" w:after="80"/>
              <w:cnfStyle w:val="000000100000" w:firstRow="0" w:lastRow="0" w:firstColumn="0" w:lastColumn="0" w:oddVBand="0" w:evenVBand="0" w:oddHBand="1" w:evenHBand="0" w:firstRowFirstColumn="0" w:firstRowLastColumn="0" w:lastRowFirstColumn="0" w:lastRowLastColumn="0"/>
              <w:rPr>
                <w:rStyle w:val="SubtleEmphasis"/>
                <w:rFonts w:ascii="Calibri" w:hAnsi="Calibri" w:cs="Calibri"/>
                <w:color w:val="000000"/>
                <w:shd w:val="clear" w:color="auto" w:fill="FFFFFF"/>
              </w:rPr>
            </w:pPr>
            <w:hyperlink r:id="rId11" w:history="1">
              <w:r w:rsidRPr="00387612">
                <w:rPr>
                  <w:rStyle w:val="Hyperlink"/>
                  <w:rFonts w:ascii="Calibri" w:hAnsi="Calibri" w:cs="Calibri"/>
                  <w:shd w:val="clear" w:color="auto" w:fill="FFFFFF"/>
                </w:rPr>
                <w:t>Materials are available in English and Spanish for</w:t>
              </w:r>
              <w:r w:rsidR="00387612" w:rsidRPr="00387612">
                <w:rPr>
                  <w:rStyle w:val="Hyperlink"/>
                  <w:rFonts w:ascii="Calibri" w:hAnsi="Calibri" w:cs="Calibri"/>
                  <w:shd w:val="clear" w:color="auto" w:fill="FFFFFF"/>
                </w:rPr>
                <w:t xml:space="preserve"> all 7 topics</w:t>
              </w:r>
            </w:hyperlink>
            <w:r w:rsidR="00387612">
              <w:rPr>
                <w:rFonts w:ascii="Calibri" w:hAnsi="Calibri" w:cs="Calibri"/>
                <w:color w:val="000000"/>
                <w:shd w:val="clear" w:color="auto" w:fill="FFFFFF"/>
              </w:rPr>
              <w:t>:</w:t>
            </w:r>
            <w:r w:rsidRPr="0048454B">
              <w:rPr>
                <w:rFonts w:ascii="Calibri" w:hAnsi="Calibri" w:cs="Calibri"/>
                <w:color w:val="000000"/>
                <w:shd w:val="clear" w:color="auto" w:fill="FFFFFF"/>
              </w:rPr>
              <w:t xml:space="preserve"> </w:t>
            </w:r>
            <w:r w:rsidRPr="00387612">
              <w:rPr>
                <w:rFonts w:ascii="Calibri" w:hAnsi="Calibri" w:cs="Calibri"/>
                <w:shd w:val="clear" w:color="auto" w:fill="FFFFFF"/>
              </w:rPr>
              <w:t>Number Sense</w:t>
            </w:r>
            <w:r w:rsidRPr="0048454B">
              <w:rPr>
                <w:rFonts w:ascii="Calibri" w:hAnsi="Calibri" w:cs="Calibri"/>
                <w:color w:val="000000"/>
                <w:shd w:val="clear" w:color="auto" w:fill="FFFFFF"/>
              </w:rPr>
              <w:t xml:space="preserve">, </w:t>
            </w:r>
            <w:r w:rsidRPr="00387612">
              <w:rPr>
                <w:rFonts w:ascii="Calibri" w:hAnsi="Calibri" w:cs="Calibri"/>
                <w:shd w:val="clear" w:color="auto" w:fill="FFFFFF"/>
              </w:rPr>
              <w:t>Operation Sense</w:t>
            </w:r>
            <w:r w:rsidRPr="0048454B">
              <w:rPr>
                <w:rFonts w:ascii="Calibri" w:hAnsi="Calibri" w:cs="Calibri"/>
                <w:color w:val="000000"/>
                <w:shd w:val="clear" w:color="auto" w:fill="FFFFFF"/>
              </w:rPr>
              <w:t xml:space="preserve">, </w:t>
            </w:r>
            <w:r w:rsidRPr="00387612">
              <w:rPr>
                <w:rFonts w:ascii="Calibri" w:hAnsi="Calibri" w:cs="Calibri"/>
                <w:shd w:val="clear" w:color="auto" w:fill="FFFFFF"/>
              </w:rPr>
              <w:t>Geometry</w:t>
            </w:r>
            <w:r w:rsidRPr="0048454B">
              <w:rPr>
                <w:rFonts w:ascii="Calibri" w:hAnsi="Calibri" w:cs="Calibri"/>
                <w:color w:val="000000"/>
                <w:shd w:val="clear" w:color="auto" w:fill="FFFFFF"/>
              </w:rPr>
              <w:t xml:space="preserve">, </w:t>
            </w:r>
            <w:r w:rsidRPr="00387612">
              <w:rPr>
                <w:rFonts w:ascii="Calibri" w:hAnsi="Calibri" w:cs="Calibri"/>
                <w:shd w:val="clear" w:color="auto" w:fill="FFFFFF"/>
              </w:rPr>
              <w:t>Multiplication Concepts</w:t>
            </w:r>
            <w:r w:rsidRPr="0048454B">
              <w:rPr>
                <w:rFonts w:ascii="Calibri" w:hAnsi="Calibri" w:cs="Calibri"/>
                <w:color w:val="000000"/>
                <w:shd w:val="clear" w:color="auto" w:fill="FFFFFF"/>
              </w:rPr>
              <w:t xml:space="preserve">, </w:t>
            </w:r>
            <w:r w:rsidRPr="00387612">
              <w:rPr>
                <w:rFonts w:ascii="Calibri" w:hAnsi="Calibri" w:cs="Calibri"/>
                <w:shd w:val="clear" w:color="auto" w:fill="FFFFFF"/>
              </w:rPr>
              <w:t>Division Concepts</w:t>
            </w:r>
            <w:r w:rsidR="00101E0F">
              <w:rPr>
                <w:rStyle w:val="Hyperlink"/>
                <w:rFonts w:ascii="Calibri" w:hAnsi="Calibri" w:cs="Calibri"/>
                <w:shd w:val="clear" w:color="auto" w:fill="FFFFFF"/>
              </w:rPr>
              <w:t>,</w:t>
            </w:r>
            <w:r w:rsidR="00387612">
              <w:rPr>
                <w:rStyle w:val="Hyperlink"/>
                <w:rFonts w:ascii="Calibri" w:hAnsi="Calibri" w:cs="Calibri"/>
                <w:shd w:val="clear" w:color="auto" w:fill="FFFFFF"/>
              </w:rPr>
              <w:t xml:space="preserve"> </w:t>
            </w:r>
            <w:r w:rsidR="00101E0F" w:rsidRPr="00387612">
              <w:rPr>
                <w:rFonts w:ascii="Calibri" w:hAnsi="Calibri" w:cs="Calibri"/>
                <w:shd w:val="clear" w:color="auto" w:fill="FFFFFF"/>
              </w:rPr>
              <w:t>Measurement and Data</w:t>
            </w:r>
            <w:r w:rsidR="00387612">
              <w:t xml:space="preserve">, and </w:t>
            </w:r>
            <w:r w:rsidR="00101E0F" w:rsidRPr="00387612">
              <w:rPr>
                <w:rStyle w:val="SubtleEmphasis"/>
                <w:i w:val="0"/>
                <w:iCs w:val="0"/>
                <w:color w:val="000000" w:themeColor="text1"/>
              </w:rPr>
              <w:t>Benchmark Fractions</w:t>
            </w:r>
            <w:r w:rsidR="00387612" w:rsidRPr="00387612">
              <w:rPr>
                <w:rStyle w:val="SubtleEmphasis"/>
                <w:i w:val="0"/>
                <w:iCs w:val="0"/>
                <w:color w:val="000000" w:themeColor="text1"/>
              </w:rPr>
              <w:t>.</w:t>
            </w:r>
            <w:r w:rsidR="00655FCA">
              <w:rPr>
                <w:rStyle w:val="SubtleEmphasis"/>
                <w:i w:val="0"/>
                <w:iCs w:val="0"/>
                <w:color w:val="000000" w:themeColor="text1"/>
              </w:rPr>
              <w:t xml:space="preserve"> </w:t>
            </w:r>
            <w:hyperlink r:id="rId12" w:history="1">
              <w:r w:rsidR="00655FCA" w:rsidRPr="00655FCA">
                <w:rPr>
                  <w:rStyle w:val="Hyperlink"/>
                  <w:b/>
                  <w:bCs/>
                </w:rPr>
                <w:t>Visit the BeCALM website</w:t>
              </w:r>
            </w:hyperlink>
            <w:r w:rsidR="00655FCA">
              <w:rPr>
                <w:rStyle w:val="SubtleEmphasis"/>
                <w:i w:val="0"/>
                <w:iCs w:val="0"/>
                <w:color w:val="000000" w:themeColor="text1"/>
              </w:rPr>
              <w:t xml:space="preserve"> to learn more about this series, including Frequently Asked Questions (FAQs).</w:t>
            </w:r>
          </w:p>
        </w:tc>
        <w:tc>
          <w:tcPr>
            <w:tcW w:w="4608" w:type="dxa"/>
            <w:tcBorders>
              <w:bottom w:val="single" w:sz="4" w:space="0" w:color="auto"/>
            </w:tcBorders>
            <w:shd w:val="clear" w:color="auto" w:fill="auto"/>
            <w:vAlign w:val="center"/>
          </w:tcPr>
          <w:p w14:paraId="33F5B4A6" w14:textId="568FCCCD" w:rsidR="00101E0F" w:rsidRDefault="00101E0F"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rsidRPr="00101E0F">
              <w:t xml:space="preserve">Download </w:t>
            </w:r>
            <w:hyperlink r:id="rId13" w:tgtFrame="_blank" w:history="1">
              <w:proofErr w:type="spellStart"/>
              <w:r w:rsidRPr="00101E0F">
                <w:rPr>
                  <w:rStyle w:val="Hyperlink"/>
                </w:rPr>
                <w:t>BeCALM</w:t>
              </w:r>
              <w:proofErr w:type="spellEnd"/>
              <w:r w:rsidRPr="00101E0F">
                <w:rPr>
                  <w:rStyle w:val="Hyperlink"/>
                </w:rPr>
                <w:t xml:space="preserve"> Scope and Sequence</w:t>
              </w:r>
            </w:hyperlink>
          </w:p>
          <w:p w14:paraId="69BFB577" w14:textId="65B0C9E2" w:rsidR="00101E0F" w:rsidRDefault="00101E0F"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t xml:space="preserve">Download </w:t>
            </w:r>
            <w:hyperlink r:id="rId14" w:tgtFrame="_blank" w:history="1">
              <w:r w:rsidRPr="00101E0F">
                <w:rPr>
                  <w:rStyle w:val="Hyperlink"/>
                </w:rPr>
                <w:t>BeCALM College and Career Readiness Standards Crosswalk</w:t>
              </w:r>
            </w:hyperlink>
          </w:p>
          <w:p w14:paraId="01278D71" w14:textId="6529535A" w:rsidR="007E6710" w:rsidRPr="0048454B" w:rsidRDefault="004C61B0"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t>Learn</w:t>
            </w:r>
            <w:r w:rsidR="007E6710" w:rsidRPr="0048454B">
              <w:t xml:space="preserve"> more about</w:t>
            </w:r>
            <w:r>
              <w:t xml:space="preserve"> the</w:t>
            </w:r>
            <w:r w:rsidR="007E6710" w:rsidRPr="0048454B">
              <w:t xml:space="preserve"> </w:t>
            </w:r>
            <w:hyperlink r:id="rId15" w:history="1">
              <w:r>
                <w:rPr>
                  <w:rStyle w:val="Hyperlink"/>
                  <w:i/>
                  <w:iCs/>
                </w:rPr>
                <w:t>Introduction to BeCALM</w:t>
              </w:r>
            </w:hyperlink>
            <w:r>
              <w:t xml:space="preserve"> self-paced workshop</w:t>
            </w:r>
          </w:p>
          <w:p w14:paraId="49AEBA18" w14:textId="1AFC5C2D" w:rsidR="00AC0D72" w:rsidRPr="004C61B0" w:rsidRDefault="004C61B0" w:rsidP="003F40D6">
            <w:pPr>
              <w:snapToGrid w:val="0"/>
              <w:spacing w:before="80" w:after="80"/>
              <w:cnfStyle w:val="000000100000" w:firstRow="0" w:lastRow="0" w:firstColumn="0" w:lastColumn="0" w:oddVBand="0" w:evenVBand="0" w:oddHBand="1" w:evenHBand="0" w:firstRowFirstColumn="0" w:firstRowLastColumn="0" w:lastRowFirstColumn="0" w:lastRowLastColumn="0"/>
              <w:rPr>
                <w:color w:val="000000" w:themeColor="text1"/>
              </w:rPr>
            </w:pPr>
            <w:r>
              <w:rPr>
                <w:rStyle w:val="SubtleEmphasis"/>
                <w:i w:val="0"/>
                <w:iCs w:val="0"/>
                <w:color w:val="000000" w:themeColor="text1"/>
              </w:rPr>
              <w:t xml:space="preserve">Check the </w:t>
            </w:r>
            <w:hyperlink r:id="rId16" w:history="1">
              <w:r>
                <w:rPr>
                  <w:rStyle w:val="Hyperlink"/>
                </w:rPr>
                <w:t>Canvas Catalog for all the upcoming BeCALM workshops</w:t>
              </w:r>
            </w:hyperlink>
            <w:r>
              <w:rPr>
                <w:rStyle w:val="SubtleEmphasis"/>
                <w:i w:val="0"/>
                <w:iCs w:val="0"/>
                <w:color w:val="000000" w:themeColor="text1"/>
              </w:rPr>
              <w:t xml:space="preserve"> </w:t>
            </w:r>
          </w:p>
        </w:tc>
      </w:tr>
      <w:tr w:rsidR="00736A31" w:rsidRPr="00796D11" w14:paraId="1138F6D0" w14:textId="77777777" w:rsidTr="00CD5DE7">
        <w:tblPrEx>
          <w:jc w:val="lef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Ex>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0CDCA1" w14:textId="77777777" w:rsidR="00736A31" w:rsidRPr="00EB1591" w:rsidRDefault="00736A31" w:rsidP="00EB1591">
            <w:pPr>
              <w:pStyle w:val="Heading3"/>
            </w:pPr>
            <w:r w:rsidRPr="00EB1591">
              <w:t>Curriculum for Adults Learning Math (CALM) Introduction</w:t>
            </w:r>
          </w:p>
        </w:tc>
        <w:tc>
          <w:tcPr>
            <w:tcW w:w="7200" w:type="dxa"/>
            <w:tcBorders>
              <w:top w:val="single" w:sz="4" w:space="0" w:color="auto"/>
              <w:left w:val="single" w:sz="4" w:space="0" w:color="auto"/>
              <w:bottom w:val="single" w:sz="4" w:space="0" w:color="auto"/>
              <w:right w:val="single" w:sz="4" w:space="0" w:color="auto"/>
            </w:tcBorders>
            <w:vAlign w:val="center"/>
          </w:tcPr>
          <w:p w14:paraId="58B33C03" w14:textId="0909810C" w:rsidR="004A24D0" w:rsidRDefault="00736A31"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rsidRPr="0048454B">
              <w:t xml:space="preserve">This </w:t>
            </w:r>
            <w:r w:rsidRPr="00655EE5">
              <w:rPr>
                <w:rStyle w:val="Strong"/>
              </w:rPr>
              <w:t>asynchronous online PD</w:t>
            </w:r>
            <w:r w:rsidRPr="0048454B">
              <w:t xml:space="preserve"> </w:t>
            </w:r>
            <w:r w:rsidR="00265B76">
              <w:t xml:space="preserve">is offered multiple times per year and </w:t>
            </w:r>
            <w:r w:rsidRPr="0048454B">
              <w:t xml:space="preserve">introduces you to the logistical elements and guiding principles of this conceptually based math curriculum designed by the SABES Math </w:t>
            </w:r>
            <w:r>
              <w:t>Team</w:t>
            </w:r>
            <w:r w:rsidRPr="0048454B">
              <w:t xml:space="preserve">. </w:t>
            </w:r>
          </w:p>
          <w:p w14:paraId="37BE02AE" w14:textId="57597DE3" w:rsidR="00736A31" w:rsidRPr="00655EE5" w:rsidRDefault="00736A31" w:rsidP="003F40D6">
            <w:pPr>
              <w:snapToGrid w:val="0"/>
              <w:spacing w:before="80" w:after="80"/>
              <w:cnfStyle w:val="000000000000" w:firstRow="0" w:lastRow="0" w:firstColumn="0" w:lastColumn="0" w:oddVBand="0" w:evenVBand="0" w:oddHBand="0" w:evenHBand="0" w:firstRowFirstColumn="0" w:firstRowLastColumn="0" w:lastRowFirstColumn="0" w:lastRowLastColumn="0"/>
              <w:rPr>
                <w:rStyle w:val="Strong"/>
              </w:rPr>
            </w:pPr>
            <w:r w:rsidRPr="00655EE5">
              <w:rPr>
                <w:rStyle w:val="Strong"/>
              </w:rPr>
              <w:t>All participants in the course will receive access to the 22 CALM units, which includes 97 complete standards-aligned math lesson plans.</w:t>
            </w:r>
          </w:p>
          <w:p w14:paraId="41FE2EC8" w14:textId="19D1B58D" w:rsidR="004A24D0" w:rsidRDefault="004A24D0"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rsidRPr="004A24D0">
              <w:t xml:space="preserve">CALM is </w:t>
            </w:r>
            <w:r>
              <w:t>for</w:t>
            </w:r>
            <w:r w:rsidRPr="004A24D0">
              <w:t xml:space="preserve"> students in ABE through ASE.</w:t>
            </w:r>
            <w:r>
              <w:t xml:space="preserve"> </w:t>
            </w:r>
            <w:hyperlink r:id="rId17" w:tgtFrame="_blank" w:history="1">
              <w:r>
                <w:rPr>
                  <w:rStyle w:val="Hyperlink"/>
                  <w:b/>
                  <w:bCs/>
                </w:rPr>
                <w:t>Visit the CALM website</w:t>
              </w:r>
            </w:hyperlink>
            <w:r>
              <w:t xml:space="preserve"> </w:t>
            </w:r>
            <w:r w:rsidRPr="004A24D0">
              <w:t>to download the Scope &amp; Sequence Overview, sample unit overviews and lesson plans, and Developmental Progressions for Linear Functions, Geometry, and Data &amp; Statistics.</w:t>
            </w:r>
            <w:r>
              <w:t xml:space="preserve"> </w:t>
            </w:r>
            <w:r w:rsidR="00655FCA">
              <w:t>Don’t forget to check out the FAQs, too!</w:t>
            </w:r>
          </w:p>
          <w:p w14:paraId="1878F8EA" w14:textId="21D12FC5" w:rsidR="005427FE" w:rsidRPr="0048454B" w:rsidRDefault="005427FE"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t xml:space="preserve">We also offer </w:t>
            </w:r>
            <w:r w:rsidR="00A34A96">
              <w:t xml:space="preserve">additional </w:t>
            </w:r>
            <w:r>
              <w:t xml:space="preserve">PD and </w:t>
            </w:r>
            <w:hyperlink r:id="rId18" w:history="1">
              <w:r w:rsidRPr="00D56B45">
                <w:rPr>
                  <w:rStyle w:val="Hyperlink"/>
                </w:rPr>
                <w:t>Professional Development Points (PDPs) with the CALM Support Series</w:t>
              </w:r>
            </w:hyperlink>
            <w:r w:rsidRPr="0048454B">
              <w:t>.</w:t>
            </w:r>
          </w:p>
        </w:tc>
        <w:tc>
          <w:tcPr>
            <w:tcW w:w="4608" w:type="dxa"/>
            <w:gridSpan w:val="2"/>
            <w:tcBorders>
              <w:top w:val="single" w:sz="4" w:space="0" w:color="auto"/>
              <w:left w:val="single" w:sz="4" w:space="0" w:color="auto"/>
              <w:bottom w:val="single" w:sz="4" w:space="0" w:color="auto"/>
              <w:right w:val="single" w:sz="4" w:space="0" w:color="auto"/>
            </w:tcBorders>
            <w:vAlign w:val="center"/>
          </w:tcPr>
          <w:p w14:paraId="1DA0DD65" w14:textId="77777777" w:rsidR="000005A0" w:rsidRDefault="00A34A96"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t xml:space="preserve">Download an </w:t>
            </w:r>
            <w:hyperlink r:id="rId19" w:history="1">
              <w:r w:rsidRPr="00A34A96">
                <w:rPr>
                  <w:rStyle w:val="Hyperlink"/>
                </w:rPr>
                <w:t>Overview of the CALM Scope and Sequence</w:t>
              </w:r>
            </w:hyperlink>
          </w:p>
          <w:p w14:paraId="516CD0B7" w14:textId="77777777" w:rsidR="000005A0" w:rsidRDefault="00A34A96"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t xml:space="preserve">Learn more about the </w:t>
            </w:r>
            <w:hyperlink r:id="rId20" w:history="1">
              <w:r w:rsidRPr="00A34A96">
                <w:rPr>
                  <w:rStyle w:val="Hyperlink"/>
                  <w:i/>
                  <w:iCs/>
                </w:rPr>
                <w:t>CALM Introduction</w:t>
              </w:r>
            </w:hyperlink>
            <w:r>
              <w:t xml:space="preserve"> self-paced workshop</w:t>
            </w:r>
          </w:p>
          <w:p w14:paraId="43C90105" w14:textId="03E3B393" w:rsidR="00736A31" w:rsidRPr="0048454B" w:rsidRDefault="000005A0"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t>C</w:t>
            </w:r>
            <w:r w:rsidR="00A34A96">
              <w:t xml:space="preserve">heck the </w:t>
            </w:r>
            <w:hyperlink r:id="rId21" w:history="1">
              <w:r w:rsidR="00A34A96" w:rsidRPr="00A34A96">
                <w:rPr>
                  <w:rStyle w:val="Hyperlink"/>
                </w:rPr>
                <w:t>Canvas Catalog for all the upcoming CALM workshops</w:t>
              </w:r>
            </w:hyperlink>
            <w:r w:rsidR="00736A31">
              <w:t xml:space="preserve"> </w:t>
            </w:r>
          </w:p>
        </w:tc>
      </w:tr>
      <w:tr w:rsidR="0092416B" w:rsidRPr="00796D11" w14:paraId="05D5061B" w14:textId="77777777" w:rsidTr="003F40D6">
        <w:tblPrEx>
          <w:jc w:val="lef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Ex>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E51E939" w14:textId="6F04F272" w:rsidR="00536982" w:rsidRPr="00EB1591" w:rsidRDefault="005A7070" w:rsidP="00EB1591">
            <w:pPr>
              <w:pStyle w:val="Heading3"/>
            </w:pPr>
            <w:r w:rsidRPr="00EB1591">
              <w:t>Resources For Teaching Math to English Language Learners</w:t>
            </w:r>
          </w:p>
        </w:tc>
        <w:tc>
          <w:tcPr>
            <w:tcW w:w="7200" w:type="dxa"/>
            <w:tcBorders>
              <w:top w:val="single" w:sz="4" w:space="0" w:color="auto"/>
              <w:left w:val="single" w:sz="4" w:space="0" w:color="auto"/>
              <w:bottom w:val="single" w:sz="4" w:space="0" w:color="auto"/>
              <w:right w:val="single" w:sz="4" w:space="0" w:color="auto"/>
            </w:tcBorders>
            <w:vAlign w:val="center"/>
          </w:tcPr>
          <w:p w14:paraId="41DD72EF" w14:textId="1F9CE4FC" w:rsidR="00A3639A" w:rsidRDefault="00D4137C" w:rsidP="003F40D6">
            <w:pPr>
              <w:snapToGrid w:val="0"/>
              <w:spacing w:before="80" w:after="80"/>
              <w:ind w:left="-14"/>
              <w:cnfStyle w:val="000000100000" w:firstRow="0" w:lastRow="0" w:firstColumn="0" w:lastColumn="0" w:oddVBand="0" w:evenVBand="0" w:oddHBand="1" w:evenHBand="0" w:firstRowFirstColumn="0" w:firstRowLastColumn="0" w:lastRowFirstColumn="0" w:lastRowLastColumn="0"/>
            </w:pPr>
            <w:r>
              <w:t>We have r</w:t>
            </w:r>
            <w:r w:rsidR="00536982" w:rsidRPr="00536982">
              <w:t>eady-to-use lesson plans and student materials for ESOL teachers to incorporate math into language class.</w:t>
            </w:r>
            <w:r w:rsidR="00536982">
              <w:t xml:space="preserve"> </w:t>
            </w:r>
            <w:r>
              <w:t>View the</w:t>
            </w:r>
            <w:r w:rsidR="00536982">
              <w:t xml:space="preserve"> downloadable </w:t>
            </w:r>
            <w:hyperlink r:id="rId22" w:history="1">
              <w:r w:rsidR="005A7070">
                <w:rPr>
                  <w:rStyle w:val="Hyperlink"/>
                </w:rPr>
                <w:t xml:space="preserve">lessons plans and </w:t>
              </w:r>
              <w:r w:rsidR="005A7070">
                <w:rPr>
                  <w:rStyle w:val="Hyperlink"/>
                </w:rPr>
                <w:lastRenderedPageBreak/>
                <w:t>student materials for Employment, Health, and Shopping</w:t>
              </w:r>
            </w:hyperlink>
            <w:r w:rsidR="005A7070">
              <w:t xml:space="preserve"> in the </w:t>
            </w:r>
            <w:r w:rsidR="005A7070" w:rsidRPr="005A7070">
              <w:rPr>
                <w:i/>
                <w:iCs/>
              </w:rPr>
              <w:t>Integrating Math into ESOL Units</w:t>
            </w:r>
            <w:r w:rsidR="005A7070">
              <w:t xml:space="preserve"> series</w:t>
            </w:r>
            <w:r w:rsidR="00536982">
              <w:t>.</w:t>
            </w:r>
          </w:p>
          <w:p w14:paraId="676CFA42" w14:textId="39248BE4" w:rsidR="00A3639A" w:rsidRPr="0048454B" w:rsidRDefault="00A3639A" w:rsidP="003F40D6">
            <w:pPr>
              <w:snapToGrid w:val="0"/>
              <w:spacing w:before="80" w:after="80"/>
              <w:ind w:left="-14"/>
              <w:cnfStyle w:val="000000100000" w:firstRow="0" w:lastRow="0" w:firstColumn="0" w:lastColumn="0" w:oddVBand="0" w:evenVBand="0" w:oddHBand="1" w:evenHBand="0" w:firstRowFirstColumn="0" w:firstRowLastColumn="0" w:lastRowFirstColumn="0" w:lastRowLastColumn="0"/>
            </w:pPr>
            <w:hyperlink r:id="rId23" w:history="1">
              <w:r w:rsidRPr="00A3639A">
                <w:rPr>
                  <w:rStyle w:val="Hyperlink"/>
                </w:rPr>
                <w:t>Hear from ESOL students in their own words</w:t>
              </w:r>
            </w:hyperlink>
            <w:r>
              <w:t xml:space="preserve"> about the importance of incorporating math into their language learning.</w:t>
            </w:r>
          </w:p>
        </w:tc>
        <w:tc>
          <w:tcPr>
            <w:tcW w:w="4608" w:type="dxa"/>
            <w:gridSpan w:val="2"/>
            <w:tcBorders>
              <w:top w:val="single" w:sz="4" w:space="0" w:color="auto"/>
              <w:left w:val="single" w:sz="4" w:space="0" w:color="auto"/>
              <w:bottom w:val="single" w:sz="4" w:space="0" w:color="auto"/>
              <w:right w:val="single" w:sz="4" w:space="0" w:color="auto"/>
            </w:tcBorders>
            <w:vAlign w:val="center"/>
          </w:tcPr>
          <w:p w14:paraId="6B7BDAC8" w14:textId="35B9861B" w:rsidR="00D4137C" w:rsidRDefault="00D4137C"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lastRenderedPageBreak/>
              <w:t xml:space="preserve">Learn more about our </w:t>
            </w:r>
            <w:hyperlink r:id="rId24" w:history="1">
              <w:r w:rsidRPr="00D4137C">
                <w:rPr>
                  <w:rStyle w:val="Hyperlink"/>
                </w:rPr>
                <w:t>Resources For Teaching Math to English Language Learners</w:t>
              </w:r>
            </w:hyperlink>
          </w:p>
          <w:p w14:paraId="0DE3B498" w14:textId="37A044D3" w:rsidR="00D4137C" w:rsidRDefault="00D56B45"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lastRenderedPageBreak/>
              <w:t xml:space="preserve">Check the </w:t>
            </w:r>
            <w:r w:rsidRPr="00D4137C">
              <w:t xml:space="preserve">Canvas Catalog for </w:t>
            </w:r>
            <w:r w:rsidR="00D4137C">
              <w:t xml:space="preserve">these self-paced </w:t>
            </w:r>
            <w:r w:rsidR="005A7070">
              <w:t>Math and EL</w:t>
            </w:r>
            <w:r w:rsidR="00D4137C">
              <w:t xml:space="preserve"> offerings:</w:t>
            </w:r>
          </w:p>
          <w:p w14:paraId="796DC743" w14:textId="77777777" w:rsidR="00D4137C" w:rsidRPr="00D4137C" w:rsidRDefault="00D4137C" w:rsidP="003F40D6">
            <w:pPr>
              <w:pStyle w:val="ListParagraph"/>
              <w:numPr>
                <w:ilvl w:val="0"/>
                <w:numId w:val="8"/>
              </w:numPr>
              <w:snapToGrid w:val="0"/>
              <w:spacing w:before="80" w:after="80"/>
              <w:contextualSpacing w:val="0"/>
              <w:cnfStyle w:val="000000100000" w:firstRow="0" w:lastRow="0" w:firstColumn="0" w:lastColumn="0" w:oddVBand="0" w:evenVBand="0" w:oddHBand="1" w:evenHBand="0" w:firstRowFirstColumn="0" w:firstRowLastColumn="0" w:lastRowFirstColumn="0" w:lastRowLastColumn="0"/>
              <w:rPr>
                <w:i/>
                <w:iCs/>
              </w:rPr>
            </w:pPr>
            <w:hyperlink r:id="rId25" w:history="1">
              <w:r w:rsidRPr="00D4137C">
                <w:rPr>
                  <w:rStyle w:val="Hyperlink"/>
                  <w:i/>
                  <w:iCs/>
                </w:rPr>
                <w:t>Getting Started with Integrating Math in the ESOL Classroom</w:t>
              </w:r>
            </w:hyperlink>
          </w:p>
          <w:p w14:paraId="428C6318" w14:textId="77777777" w:rsidR="00D4137C" w:rsidRDefault="00D4137C" w:rsidP="003F40D6">
            <w:pPr>
              <w:pStyle w:val="ListParagraph"/>
              <w:numPr>
                <w:ilvl w:val="0"/>
                <w:numId w:val="8"/>
              </w:numPr>
              <w:snapToGrid w:val="0"/>
              <w:spacing w:before="80" w:after="80"/>
              <w:contextualSpacing w:val="0"/>
              <w:cnfStyle w:val="000000100000" w:firstRow="0" w:lastRow="0" w:firstColumn="0" w:lastColumn="0" w:oddVBand="0" w:evenVBand="0" w:oddHBand="1" w:evenHBand="0" w:firstRowFirstColumn="0" w:firstRowLastColumn="0" w:lastRowFirstColumn="0" w:lastRowLastColumn="0"/>
              <w:rPr>
                <w:i/>
                <w:iCs/>
              </w:rPr>
            </w:pPr>
            <w:hyperlink r:id="rId26" w:history="1">
              <w:r w:rsidRPr="00D4137C">
                <w:rPr>
                  <w:rStyle w:val="Hyperlink"/>
                  <w:i/>
                  <w:iCs/>
                </w:rPr>
                <w:t>Reasoning with Ratios in the ESOL Classroom</w:t>
              </w:r>
            </w:hyperlink>
          </w:p>
          <w:p w14:paraId="5AC9ABEA" w14:textId="0E7C7FAE" w:rsidR="005A7070" w:rsidRPr="00D4137C" w:rsidRDefault="005A7070" w:rsidP="003F40D6">
            <w:pPr>
              <w:pStyle w:val="ListParagraph"/>
              <w:numPr>
                <w:ilvl w:val="0"/>
                <w:numId w:val="8"/>
              </w:numPr>
              <w:snapToGrid w:val="0"/>
              <w:spacing w:before="80" w:after="80"/>
              <w:contextualSpacing w:val="0"/>
              <w:cnfStyle w:val="000000100000" w:firstRow="0" w:lastRow="0" w:firstColumn="0" w:lastColumn="0" w:oddVBand="0" w:evenVBand="0" w:oddHBand="1" w:evenHBand="0" w:firstRowFirstColumn="0" w:firstRowLastColumn="0" w:lastRowFirstColumn="0" w:lastRowLastColumn="0"/>
              <w:rPr>
                <w:i/>
                <w:iCs/>
              </w:rPr>
            </w:pPr>
            <w:hyperlink r:id="rId27" w:history="1">
              <w:r w:rsidRPr="005A7070">
                <w:rPr>
                  <w:rStyle w:val="Hyperlink"/>
                  <w:i/>
                  <w:iCs/>
                </w:rPr>
                <w:t>English Learners in the ABE Math Classroom</w:t>
              </w:r>
            </w:hyperlink>
          </w:p>
        </w:tc>
      </w:tr>
      <w:tr w:rsidR="00F92754" w:rsidRPr="00796D11" w14:paraId="150CC747" w14:textId="77777777" w:rsidTr="00CD5DE7">
        <w:trPr>
          <w:gridAfter w:val="1"/>
          <w:wAfter w:w="22" w:type="dxa"/>
          <w:jc w:val="center"/>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shd w:val="clear" w:color="auto" w:fill="F7CAAC" w:themeFill="accent2" w:themeFillTint="66"/>
            <w:vAlign w:val="center"/>
          </w:tcPr>
          <w:p w14:paraId="56F32098" w14:textId="51DDD2B1" w:rsidR="00F92754" w:rsidRPr="00EB1591" w:rsidRDefault="00F92754" w:rsidP="00EB1591">
            <w:pPr>
              <w:pStyle w:val="Heading3"/>
            </w:pPr>
            <w:r w:rsidRPr="00EB1591">
              <w:lastRenderedPageBreak/>
              <w:t xml:space="preserve">Math Resources for Supporting Learners </w:t>
            </w:r>
            <w:r w:rsidR="00BB2394" w:rsidRPr="00EB1591">
              <w:t>with</w:t>
            </w:r>
            <w:r w:rsidRPr="00EB1591">
              <w:t xml:space="preserve"> Learning Disabilities, Differences, and Difficulties</w:t>
            </w:r>
          </w:p>
        </w:tc>
        <w:tc>
          <w:tcPr>
            <w:tcW w:w="7200" w:type="dxa"/>
            <w:tcBorders>
              <w:top w:val="single" w:sz="4" w:space="0" w:color="auto"/>
            </w:tcBorders>
            <w:vAlign w:val="center"/>
          </w:tcPr>
          <w:p w14:paraId="48363F42" w14:textId="2B11EC97" w:rsidR="00F92754" w:rsidRPr="0048454B" w:rsidRDefault="00F92754" w:rsidP="003F40D6">
            <w:pPr>
              <w:snapToGrid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F92754">
              <w:rPr>
                <w:rFonts w:ascii="Calibri" w:hAnsi="Calibri" w:cs="Calibri"/>
                <w:color w:val="000000"/>
                <w:shd w:val="clear" w:color="auto" w:fill="FFFFFF"/>
              </w:rPr>
              <w:t>The resources on this page are specifically curated to narrow your search for key materials in your work with students who have learning disabilities, differences, and difficulties, particularly in math and numeracy.</w:t>
            </w:r>
          </w:p>
        </w:tc>
        <w:tc>
          <w:tcPr>
            <w:tcW w:w="4608" w:type="dxa"/>
            <w:tcBorders>
              <w:top w:val="single" w:sz="4" w:space="0" w:color="auto"/>
            </w:tcBorders>
            <w:vAlign w:val="center"/>
          </w:tcPr>
          <w:p w14:paraId="036D6B88" w14:textId="4A3DD524" w:rsidR="00BB2394" w:rsidRDefault="00BB2394"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t xml:space="preserve">Discover </w:t>
            </w:r>
            <w:hyperlink r:id="rId28" w:history="1">
              <w:r w:rsidRPr="00BB2394">
                <w:rPr>
                  <w:rStyle w:val="Hyperlink"/>
                </w:rPr>
                <w:t>strategies and suggestions for supporting students</w:t>
              </w:r>
            </w:hyperlink>
            <w:r>
              <w:t xml:space="preserve"> with learning differences in math</w:t>
            </w:r>
          </w:p>
          <w:p w14:paraId="6425B139" w14:textId="5C8239D3" w:rsidR="00BB2394" w:rsidRPr="00BB2394" w:rsidRDefault="00BB2394"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t xml:space="preserve">Check the Canvas Catalog for the </w:t>
            </w:r>
            <w:hyperlink r:id="rId29" w:history="1">
              <w:r w:rsidRPr="00BB2394">
                <w:rPr>
                  <w:rStyle w:val="Hyperlink"/>
                  <w:i/>
                  <w:iCs/>
                </w:rPr>
                <w:t>LD Teaching Strategies for Math</w:t>
              </w:r>
            </w:hyperlink>
            <w:r w:rsidRPr="00BB2394">
              <w:rPr>
                <w:i/>
                <w:iCs/>
              </w:rPr>
              <w:t xml:space="preserve"> </w:t>
            </w:r>
            <w:r>
              <w:t>workshop</w:t>
            </w:r>
          </w:p>
        </w:tc>
      </w:tr>
      <w:tr w:rsidR="002B52C4" w:rsidRPr="00796D11" w14:paraId="013768A0" w14:textId="77777777" w:rsidTr="00CD5DE7">
        <w:trPr>
          <w:gridAfter w:val="1"/>
          <w:cnfStyle w:val="000000100000" w:firstRow="0" w:lastRow="0" w:firstColumn="0" w:lastColumn="0" w:oddVBand="0" w:evenVBand="0" w:oddHBand="1"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shd w:val="clear" w:color="auto" w:fill="F7CAAC" w:themeFill="accent2" w:themeFillTint="66"/>
            <w:vAlign w:val="center"/>
          </w:tcPr>
          <w:p w14:paraId="22E26709" w14:textId="36651463" w:rsidR="002B52C4" w:rsidRPr="00EB1591" w:rsidRDefault="002B52C4" w:rsidP="00EB1591">
            <w:pPr>
              <w:pStyle w:val="Heading3"/>
            </w:pPr>
            <w:r w:rsidRPr="00EB1591">
              <w:t>Teacher Growth and Support</w:t>
            </w:r>
          </w:p>
        </w:tc>
        <w:tc>
          <w:tcPr>
            <w:tcW w:w="7200" w:type="dxa"/>
            <w:tcBorders>
              <w:top w:val="single" w:sz="4" w:space="0" w:color="auto"/>
            </w:tcBorders>
            <w:shd w:val="clear" w:color="auto" w:fill="auto"/>
            <w:vAlign w:val="center"/>
          </w:tcPr>
          <w:p w14:paraId="629777E5" w14:textId="448D57CE" w:rsidR="002B52C4" w:rsidRPr="00F92754" w:rsidRDefault="002B52C4" w:rsidP="003F40D6">
            <w:pPr>
              <w:snapToGrid w:val="0"/>
              <w:spacing w:before="80" w:after="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Pr>
                <w:rFonts w:ascii="Calibri" w:hAnsi="Calibri" w:cs="Calibri"/>
                <w:color w:val="000000"/>
                <w:shd w:val="clear" w:color="auto" w:fill="FFFFFF"/>
              </w:rPr>
              <w:t>Grow your conceptual understanding to learn about the connections between language and math, the ways math is done in the U.S. and other countries, how to model math with fraction strips and number lines</w:t>
            </w:r>
            <w:r w:rsidR="0089042C">
              <w:rPr>
                <w:rFonts w:ascii="Calibri" w:hAnsi="Calibri" w:cs="Calibri"/>
                <w:color w:val="000000"/>
                <w:shd w:val="clear" w:color="auto" w:fill="FFFFFF"/>
              </w:rPr>
              <w:t xml:space="preserve">, and </w:t>
            </w:r>
            <w:r w:rsidR="0089042C" w:rsidRPr="0089042C">
              <w:rPr>
                <w:rFonts w:ascii="Calibri" w:hAnsi="Calibri" w:cs="Calibri"/>
                <w:color w:val="000000"/>
                <w:shd w:val="clear" w:color="auto" w:fill="FFFFFF"/>
              </w:rPr>
              <w:t xml:space="preserve">practical ways to learn from and implement the material in the </w:t>
            </w:r>
            <w:r w:rsidR="0089042C" w:rsidRPr="0089042C">
              <w:rPr>
                <w:rFonts w:ascii="Calibri" w:hAnsi="Calibri" w:cs="Calibri"/>
                <w:i/>
                <w:iCs/>
                <w:color w:val="000000"/>
                <w:shd w:val="clear" w:color="auto" w:fill="FFFFFF"/>
              </w:rPr>
              <w:t>Math Proficiency Guide</w:t>
            </w:r>
            <w:r w:rsidR="0089042C" w:rsidRPr="0089042C">
              <w:rPr>
                <w:rFonts w:ascii="Calibri" w:hAnsi="Calibri" w:cs="Calibri"/>
                <w:color w:val="000000"/>
                <w:shd w:val="clear" w:color="auto" w:fill="FFFFFF"/>
              </w:rPr>
              <w:t xml:space="preserve"> to improve </w:t>
            </w:r>
            <w:r w:rsidR="0089042C">
              <w:rPr>
                <w:rFonts w:ascii="Calibri" w:hAnsi="Calibri" w:cs="Calibri"/>
                <w:color w:val="000000"/>
                <w:shd w:val="clear" w:color="auto" w:fill="FFFFFF"/>
              </w:rPr>
              <w:t>your</w:t>
            </w:r>
            <w:r w:rsidR="0089042C" w:rsidRPr="0089042C">
              <w:rPr>
                <w:rFonts w:ascii="Calibri" w:hAnsi="Calibri" w:cs="Calibri"/>
                <w:color w:val="000000"/>
                <w:shd w:val="clear" w:color="auto" w:fill="FFFFFF"/>
              </w:rPr>
              <w:t xml:space="preserve"> own math instruction.</w:t>
            </w:r>
          </w:p>
        </w:tc>
        <w:tc>
          <w:tcPr>
            <w:tcW w:w="4608" w:type="dxa"/>
            <w:tcBorders>
              <w:top w:val="single" w:sz="4" w:space="0" w:color="auto"/>
            </w:tcBorders>
            <w:shd w:val="clear" w:color="auto" w:fill="auto"/>
            <w:vAlign w:val="center"/>
          </w:tcPr>
          <w:p w14:paraId="6BDBAEBB" w14:textId="4126B173" w:rsidR="0089042C" w:rsidRDefault="005F063E"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t>View</w:t>
            </w:r>
            <w:r w:rsidR="002B52C4">
              <w:t xml:space="preserve"> </w:t>
            </w:r>
            <w:r w:rsidR="00A26FD9">
              <w:t>a</w:t>
            </w:r>
            <w:r w:rsidR="002B52C4">
              <w:t xml:space="preserve"> curated list of </w:t>
            </w:r>
            <w:hyperlink r:id="rId30" w:history="1">
              <w:r w:rsidR="002B52C4" w:rsidRPr="002B52C4">
                <w:rPr>
                  <w:rStyle w:val="Hyperlink"/>
                </w:rPr>
                <w:t>classroom videos, teaching tools, and tools for teaching math conceptually</w:t>
              </w:r>
            </w:hyperlink>
          </w:p>
          <w:p w14:paraId="67DF6BCC" w14:textId="225D0A8D" w:rsidR="0089042C" w:rsidRDefault="0089042C"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t xml:space="preserve">Check the Canvas Catalog for the </w:t>
            </w:r>
            <w:hyperlink r:id="rId31" w:history="1">
              <w:r>
                <w:rPr>
                  <w:rStyle w:val="Hyperlink"/>
                  <w:i/>
                  <w:iCs/>
                </w:rPr>
                <w:t>Using the Math Proficiency Guide to Become a More Effective Math Teacher</w:t>
              </w:r>
            </w:hyperlink>
            <w:r w:rsidRPr="00BB2394">
              <w:rPr>
                <w:i/>
                <w:iCs/>
              </w:rPr>
              <w:t xml:space="preserve"> </w:t>
            </w:r>
            <w:r>
              <w:t>self-paced workshop</w:t>
            </w:r>
          </w:p>
        </w:tc>
      </w:tr>
      <w:tr w:rsidR="00FF7712" w:rsidRPr="00796D11" w14:paraId="6A014AE0" w14:textId="77777777" w:rsidTr="00CD5DE7">
        <w:trPr>
          <w:gridAfter w:val="1"/>
          <w:wAfter w:w="22" w:type="dxa"/>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1BA803AE" w14:textId="38AE29D6" w:rsidR="00FF7712" w:rsidRPr="00EB1591" w:rsidRDefault="008816C1" w:rsidP="00EB1591">
            <w:pPr>
              <w:pStyle w:val="Heading3"/>
            </w:pPr>
            <w:r w:rsidRPr="00EB1591">
              <w:t>Resources for Teaching Math Remotely</w:t>
            </w:r>
          </w:p>
        </w:tc>
        <w:tc>
          <w:tcPr>
            <w:tcW w:w="7200" w:type="dxa"/>
            <w:vAlign w:val="center"/>
          </w:tcPr>
          <w:p w14:paraId="17A1E3FC" w14:textId="60FF2C9E" w:rsidR="00FF7712" w:rsidRPr="0048454B" w:rsidRDefault="008816C1"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rsidRPr="008816C1">
              <w:t xml:space="preserve">All of our classroom-ready materials are created with the principles of </w:t>
            </w:r>
            <w:hyperlink r:id="rId32" w:history="1">
              <w:r w:rsidRPr="008816C1">
                <w:rPr>
                  <w:rStyle w:val="Hyperlink"/>
                </w:rPr>
                <w:t>Universal Design</w:t>
              </w:r>
            </w:hyperlink>
            <w:r w:rsidRPr="008816C1">
              <w:t xml:space="preserve"> and are meant to be effective in remote as well as face-to-face classrooms. </w:t>
            </w:r>
            <w:r>
              <w:t>Check out these math resources</w:t>
            </w:r>
            <w:r w:rsidRPr="008816C1">
              <w:t xml:space="preserve"> specific to remote teaching.</w:t>
            </w:r>
          </w:p>
        </w:tc>
        <w:tc>
          <w:tcPr>
            <w:tcW w:w="4608" w:type="dxa"/>
            <w:vAlign w:val="center"/>
          </w:tcPr>
          <w:p w14:paraId="38B3EFBF" w14:textId="7A453F68" w:rsidR="00FF7712" w:rsidRPr="0048454B" w:rsidRDefault="008816C1" w:rsidP="003F40D6">
            <w:pPr>
              <w:snapToGrid w:val="0"/>
              <w:spacing w:before="80" w:after="80"/>
              <w:cnfStyle w:val="000000000000" w:firstRow="0" w:lastRow="0" w:firstColumn="0" w:lastColumn="0" w:oddVBand="0" w:evenVBand="0" w:oddHBand="0" w:evenHBand="0" w:firstRowFirstColumn="0" w:firstRowLastColumn="0" w:lastRowFirstColumn="0" w:lastRowLastColumn="0"/>
            </w:pPr>
            <w:r w:rsidRPr="008816C1">
              <w:t>L</w:t>
            </w:r>
            <w:r>
              <w:t xml:space="preserve">earn from this curated list of </w:t>
            </w:r>
            <w:hyperlink r:id="rId33" w:history="1">
              <w:r w:rsidRPr="008816C1">
                <w:rPr>
                  <w:rStyle w:val="Hyperlink"/>
                </w:rPr>
                <w:t>manipulatives and tech tutorials for supporting online learners</w:t>
              </w:r>
            </w:hyperlink>
            <w:r>
              <w:t xml:space="preserve"> </w:t>
            </w:r>
          </w:p>
        </w:tc>
      </w:tr>
      <w:tr w:rsidR="002C3DC2" w:rsidRPr="00796D11" w14:paraId="64F01E46" w14:textId="77777777" w:rsidTr="00CD5DE7">
        <w:trPr>
          <w:gridAfter w:val="1"/>
          <w:cnfStyle w:val="000000100000" w:firstRow="0" w:lastRow="0" w:firstColumn="0" w:lastColumn="0" w:oddVBand="0" w:evenVBand="0" w:oddHBand="1"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5956B58A" w14:textId="77777777" w:rsidR="00EC1EE2" w:rsidRPr="00EB1591" w:rsidRDefault="00FE503D" w:rsidP="00EB1591">
            <w:pPr>
              <w:pStyle w:val="Heading3"/>
            </w:pPr>
            <w:r w:rsidRPr="00EB1591">
              <w:t xml:space="preserve">Test Prep Resources </w:t>
            </w:r>
          </w:p>
          <w:p w14:paraId="70D5DB0E" w14:textId="65A3D607" w:rsidR="002C3DC2" w:rsidRPr="00EB1591" w:rsidRDefault="00FE503D" w:rsidP="00EB1591">
            <w:pPr>
              <w:pStyle w:val="Heading3"/>
            </w:pPr>
            <w:r w:rsidRPr="00EB1591">
              <w:t>&amp; PD</w:t>
            </w:r>
          </w:p>
        </w:tc>
        <w:tc>
          <w:tcPr>
            <w:tcW w:w="7200" w:type="dxa"/>
            <w:shd w:val="clear" w:color="auto" w:fill="auto"/>
            <w:vAlign w:val="center"/>
          </w:tcPr>
          <w:p w14:paraId="5741999A" w14:textId="1CD9130A" w:rsidR="002C3DC2" w:rsidRPr="008816C1" w:rsidRDefault="002C3DC2"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rPr>
                <w:rFonts w:cstheme="minorHAnsi"/>
              </w:rPr>
              <w:t xml:space="preserve">The </w:t>
            </w:r>
            <w:r w:rsidRPr="002C3DC2">
              <w:rPr>
                <w:rFonts w:cstheme="minorHAnsi"/>
                <w:i/>
                <w:iCs/>
              </w:rPr>
              <w:t>Will This Be on the Test? Inspiration for Tackling Standardized Test Questions Conceptually and Creatively</w:t>
            </w:r>
            <w:r>
              <w:rPr>
                <w:rFonts w:cstheme="minorHAnsi"/>
                <w:i/>
                <w:iCs/>
              </w:rPr>
              <w:t xml:space="preserve"> </w:t>
            </w:r>
            <w:r w:rsidRPr="00FC234C">
              <w:t xml:space="preserve">packet introduces an instructional routine called a Test Talk. Test Talks help </w:t>
            </w:r>
            <w:r>
              <w:t xml:space="preserve">teachers </w:t>
            </w:r>
            <w:r w:rsidRPr="00FC234C">
              <w:t>create and nurture a classroom culture that values flexible thinking and conceptual understanding and that explicitly prepares students to apply their learning in the context of standardized tests. The bulk of this packet is examples of test-like questions that can be used with this routine</w:t>
            </w:r>
            <w:r>
              <w:t xml:space="preserve">. </w:t>
            </w:r>
          </w:p>
        </w:tc>
        <w:tc>
          <w:tcPr>
            <w:tcW w:w="4608" w:type="dxa"/>
            <w:shd w:val="clear" w:color="auto" w:fill="auto"/>
            <w:vAlign w:val="center"/>
          </w:tcPr>
          <w:p w14:paraId="09CFF61F" w14:textId="04726DC9" w:rsidR="00FE503D" w:rsidRPr="000005A0" w:rsidRDefault="002C3DC2" w:rsidP="003F40D6">
            <w:pPr>
              <w:snapToGrid w:val="0"/>
              <w:spacing w:before="80" w:after="80"/>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Pr>
                <w:rFonts w:ascii="Calibri" w:hAnsi="Calibri" w:cs="Calibri"/>
              </w:rPr>
              <w:t xml:space="preserve">Access the </w:t>
            </w:r>
            <w:hyperlink r:id="rId34" w:history="1">
              <w:r w:rsidR="00FE503D" w:rsidRPr="00FE503D">
                <w:rPr>
                  <w:rStyle w:val="Hyperlink"/>
                  <w:rFonts w:ascii="Calibri" w:hAnsi="Calibri" w:cs="Calibri"/>
                  <w:i/>
                  <w:iCs/>
                </w:rPr>
                <w:t>Will This Be on the Test?</w:t>
              </w:r>
              <w:r w:rsidR="00FE503D" w:rsidRPr="00FE503D">
                <w:rPr>
                  <w:rStyle w:val="Hyperlink"/>
                  <w:rFonts w:ascii="Calibri" w:hAnsi="Calibri" w:cs="Calibri"/>
                </w:rPr>
                <w:t xml:space="preserve"> </w:t>
              </w:r>
              <w:r w:rsidRPr="00FE503D">
                <w:rPr>
                  <w:rStyle w:val="Hyperlink"/>
                  <w:rFonts w:ascii="Calibri" w:hAnsi="Calibri" w:cs="Calibri"/>
                </w:rPr>
                <w:t>packet</w:t>
              </w:r>
            </w:hyperlink>
          </w:p>
          <w:p w14:paraId="0AAE89FB" w14:textId="39082DC0" w:rsidR="002C3DC2" w:rsidRPr="008816C1" w:rsidRDefault="00FE503D" w:rsidP="003F40D6">
            <w:pPr>
              <w:snapToGrid w:val="0"/>
              <w:spacing w:before="80" w:after="80"/>
              <w:cnfStyle w:val="000000100000" w:firstRow="0" w:lastRow="0" w:firstColumn="0" w:lastColumn="0" w:oddVBand="0" w:evenVBand="0" w:oddHBand="1" w:evenHBand="0" w:firstRowFirstColumn="0" w:firstRowLastColumn="0" w:lastRowFirstColumn="0" w:lastRowLastColumn="0"/>
            </w:pPr>
            <w:r>
              <w:rPr>
                <w:rFonts w:ascii="Calibri" w:hAnsi="Calibri" w:cs="Calibri"/>
              </w:rPr>
              <w:t>Check the Canvas Catalog for the</w:t>
            </w:r>
            <w:hyperlink r:id="rId35" w:history="1">
              <w:r>
                <w:rPr>
                  <w:rStyle w:val="Hyperlink"/>
                  <w:rFonts w:ascii="Calibri" w:hAnsi="Calibri" w:cs="Calibri"/>
                  <w:i/>
                  <w:iCs/>
                </w:rPr>
                <w:t xml:space="preserve"> Will This Be on the Test? online workshop</w:t>
              </w:r>
            </w:hyperlink>
          </w:p>
        </w:tc>
      </w:tr>
    </w:tbl>
    <w:p w14:paraId="6DDF32AC" w14:textId="77777777" w:rsidR="00616BE6" w:rsidRPr="009D452A" w:rsidRDefault="00616BE6" w:rsidP="00616BE6">
      <w:pPr>
        <w:spacing w:after="0" w:line="240" w:lineRule="auto"/>
        <w:rPr>
          <w:rFonts w:ascii="Frutiger LT Std 47 Light Cn" w:hAnsi="Frutiger LT Std 47 Light Cn"/>
          <w:b/>
          <w:bCs/>
          <w:sz w:val="10"/>
          <w:szCs w:val="10"/>
        </w:rPr>
      </w:pPr>
    </w:p>
    <w:p w14:paraId="5E1E4BA8" w14:textId="029BCBA4" w:rsidR="00FC2C6F" w:rsidRPr="00862E02" w:rsidRDefault="00FC2C6F" w:rsidP="003F40D6">
      <w:pPr>
        <w:spacing w:after="120" w:line="240" w:lineRule="auto"/>
        <w:rPr>
          <w:rFonts w:ascii="Frutiger LT Std 47 Light Cn" w:hAnsi="Frutiger LT Std 47 Light Cn"/>
          <w:b/>
          <w:bCs/>
          <w:sz w:val="24"/>
          <w:szCs w:val="24"/>
        </w:rPr>
      </w:pPr>
      <w:r w:rsidRPr="00862E02">
        <w:rPr>
          <w:rFonts w:ascii="Frutiger LT Std 47 Light Cn" w:hAnsi="Frutiger LT Std 47 Light Cn"/>
          <w:b/>
          <w:bCs/>
          <w:sz w:val="24"/>
          <w:szCs w:val="24"/>
        </w:rPr>
        <w:t>Contact us should you have questions</w:t>
      </w:r>
      <w:r w:rsidR="00D530AB" w:rsidRPr="00862E02">
        <w:rPr>
          <w:rFonts w:ascii="Frutiger LT Std 47 Light Cn" w:hAnsi="Frutiger LT Std 47 Light Cn"/>
          <w:b/>
          <w:bCs/>
          <w:sz w:val="24"/>
          <w:szCs w:val="24"/>
        </w:rPr>
        <w:t>,</w:t>
      </w:r>
      <w:r w:rsidRPr="00862E02">
        <w:rPr>
          <w:rFonts w:ascii="Frutiger LT Std 47 Light Cn" w:hAnsi="Frutiger LT Std 47 Light Cn"/>
          <w:b/>
          <w:bCs/>
          <w:sz w:val="24"/>
          <w:szCs w:val="24"/>
        </w:rPr>
        <w:t xml:space="preserve"> need assistance</w:t>
      </w:r>
      <w:r w:rsidR="00D530AB" w:rsidRPr="00862E02">
        <w:rPr>
          <w:rFonts w:ascii="Frutiger LT Std 47 Light Cn" w:hAnsi="Frutiger LT Std 47 Light Cn"/>
          <w:b/>
          <w:bCs/>
          <w:sz w:val="24"/>
          <w:szCs w:val="24"/>
        </w:rPr>
        <w:t>, or want some coaching or program-based PD</w:t>
      </w:r>
      <w:r w:rsidR="00CE574F" w:rsidRPr="00862E02">
        <w:rPr>
          <w:rFonts w:ascii="Frutiger LT Std 47 Light Cn" w:hAnsi="Frutiger LT Std 47 Light Cn"/>
          <w:b/>
          <w:bCs/>
          <w:sz w:val="24"/>
          <w:szCs w:val="24"/>
        </w:rPr>
        <w:t>!</w:t>
      </w:r>
      <w:r w:rsidRPr="00862E02">
        <w:rPr>
          <w:rFonts w:ascii="Frutiger LT Std 47 Light Cn" w:hAnsi="Frutiger LT Std 47 Light Cn"/>
          <w:b/>
          <w:bCs/>
          <w:sz w:val="24"/>
          <w:szCs w:val="24"/>
        </w:rPr>
        <w:t xml:space="preserve">  </w:t>
      </w:r>
    </w:p>
    <w:p w14:paraId="3D215A54" w14:textId="37A9C161" w:rsidR="006906C2" w:rsidRPr="003F40D6" w:rsidRDefault="009E4439" w:rsidP="003F40D6">
      <w:pPr>
        <w:spacing w:after="0" w:line="276" w:lineRule="auto"/>
        <w:rPr>
          <w:rFonts w:ascii="Frutiger LT Std 57 Cn" w:hAnsi="Frutiger LT Std 57 Cn"/>
          <w:sz w:val="24"/>
          <w:szCs w:val="24"/>
        </w:rPr>
      </w:pPr>
      <w:r w:rsidRPr="003F40D6">
        <w:rPr>
          <w:rFonts w:ascii="Frutiger LT Std 57 Cn" w:hAnsi="Frutiger LT Std 57 Cn"/>
          <w:sz w:val="24"/>
          <w:szCs w:val="24"/>
        </w:rPr>
        <w:t>Heidi Schuler, Director</w:t>
      </w:r>
      <w:r w:rsidR="006906C2" w:rsidRPr="003F40D6">
        <w:rPr>
          <w:rFonts w:ascii="Frutiger LT Std 57 Cn" w:hAnsi="Frutiger LT Std 57 Cn"/>
          <w:sz w:val="24"/>
          <w:szCs w:val="24"/>
        </w:rPr>
        <w:t xml:space="preserve"> | </w:t>
      </w:r>
      <w:hyperlink r:id="rId36" w:history="1">
        <w:r w:rsidR="000B71FA" w:rsidRPr="00894814">
          <w:rPr>
            <w:rStyle w:val="Hyperlink"/>
            <w:rFonts w:ascii="Frutiger LT Std 57 Cn" w:hAnsi="Frutiger LT Std 57 Cn"/>
            <w:sz w:val="24"/>
            <w:szCs w:val="24"/>
          </w:rPr>
          <w:t>heidi_schuler@terc.edu</w:t>
        </w:r>
      </w:hyperlink>
      <w:r w:rsidR="008063DE" w:rsidRPr="003F40D6">
        <w:rPr>
          <w:rFonts w:ascii="Frutiger LT Std 57 Cn" w:hAnsi="Frutiger LT Std 57 Cn"/>
          <w:sz w:val="24"/>
          <w:szCs w:val="24"/>
        </w:rPr>
        <w:tab/>
      </w:r>
      <w:r w:rsidR="008063DE" w:rsidRPr="003F40D6">
        <w:rPr>
          <w:rFonts w:ascii="Frutiger LT Std 57 Cn" w:hAnsi="Frutiger LT Std 57 Cn"/>
          <w:sz w:val="24"/>
          <w:szCs w:val="24"/>
        </w:rPr>
        <w:tab/>
      </w:r>
      <w:r w:rsidR="008063DE" w:rsidRPr="003F40D6">
        <w:rPr>
          <w:rFonts w:ascii="Frutiger LT Std 57 Cn" w:hAnsi="Frutiger LT Std 57 Cn"/>
          <w:sz w:val="24"/>
          <w:szCs w:val="24"/>
        </w:rPr>
        <w:tab/>
      </w:r>
      <w:r w:rsidR="008063DE" w:rsidRPr="003F40D6">
        <w:rPr>
          <w:rFonts w:ascii="Frutiger LT Std 57 Cn" w:hAnsi="Frutiger LT Std 57 Cn"/>
          <w:sz w:val="24"/>
          <w:szCs w:val="24"/>
        </w:rPr>
        <w:tab/>
      </w:r>
      <w:r w:rsidR="008063DE" w:rsidRPr="003F40D6">
        <w:rPr>
          <w:rFonts w:ascii="Frutiger LT Std 57 Cn" w:hAnsi="Frutiger LT Std 57 Cn"/>
          <w:sz w:val="24"/>
          <w:szCs w:val="24"/>
        </w:rPr>
        <w:tab/>
      </w:r>
      <w:r w:rsidR="006906C2" w:rsidRPr="003F40D6">
        <w:rPr>
          <w:rFonts w:ascii="Frutiger LT Std 57 Cn" w:hAnsi="Frutiger LT Std 57 Cn"/>
          <w:sz w:val="24"/>
          <w:szCs w:val="24"/>
        </w:rPr>
        <w:t xml:space="preserve">Sherry Soares, Project Manager | </w:t>
      </w:r>
      <w:hyperlink r:id="rId37" w:history="1">
        <w:r w:rsidR="006906C2" w:rsidRPr="003F40D6">
          <w:rPr>
            <w:rStyle w:val="Hyperlink"/>
            <w:rFonts w:ascii="Frutiger LT Std 57 Cn" w:hAnsi="Frutiger LT Std 57 Cn"/>
            <w:sz w:val="24"/>
            <w:szCs w:val="24"/>
          </w:rPr>
          <w:t>sherry_soares@terc.edu</w:t>
        </w:r>
      </w:hyperlink>
    </w:p>
    <w:p w14:paraId="38723060" w14:textId="23C2BEBF" w:rsidR="000B71FA" w:rsidRPr="003F40D6" w:rsidRDefault="006906C2" w:rsidP="003F40D6">
      <w:pPr>
        <w:spacing w:after="0" w:line="276" w:lineRule="auto"/>
        <w:rPr>
          <w:rFonts w:ascii="Frutiger LT Std 57 Cn" w:hAnsi="Frutiger LT Std 57 Cn"/>
          <w:sz w:val="24"/>
          <w:szCs w:val="24"/>
        </w:rPr>
      </w:pPr>
      <w:r w:rsidRPr="003F40D6">
        <w:rPr>
          <w:rFonts w:ascii="Frutiger LT Std 57 Cn" w:hAnsi="Frutiger LT Std 57 Cn"/>
          <w:sz w:val="24"/>
          <w:szCs w:val="24"/>
        </w:rPr>
        <w:t>Connie Rivera</w:t>
      </w:r>
      <w:r w:rsidR="00862E02" w:rsidRPr="003F40D6">
        <w:rPr>
          <w:rFonts w:ascii="Frutiger LT Std 57 Cn" w:hAnsi="Frutiger LT Std 57 Cn"/>
          <w:sz w:val="24"/>
          <w:szCs w:val="24"/>
        </w:rPr>
        <w:t xml:space="preserve">, Professional Development Specialist | </w:t>
      </w:r>
      <w:hyperlink r:id="rId38" w:history="1">
        <w:r w:rsidR="00862E02" w:rsidRPr="000B71FA">
          <w:rPr>
            <w:rStyle w:val="Hyperlink"/>
            <w:rFonts w:ascii="Frutiger LT Std 57 Cn" w:hAnsi="Frutiger LT Std 57 Cn"/>
            <w:sz w:val="24"/>
            <w:szCs w:val="24"/>
          </w:rPr>
          <w:t>connie_rivera@terc.edu</w:t>
        </w:r>
      </w:hyperlink>
    </w:p>
    <w:sectPr w:rsidR="000B71FA" w:rsidRPr="003F40D6" w:rsidSect="009E4439">
      <w:headerReference w:type="default" r:id="rId39"/>
      <w:footerReference w:type="default" r:id="rId40"/>
      <w:headerReference w:type="first" r:id="rId41"/>
      <w:pgSz w:w="15840" w:h="12240" w:orient="landscape"/>
      <w:pgMar w:top="720"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3503C" w14:textId="77777777" w:rsidR="00FF6E03" w:rsidRDefault="00FF6E03" w:rsidP="003935B6">
      <w:pPr>
        <w:spacing w:after="0" w:line="240" w:lineRule="auto"/>
      </w:pPr>
      <w:r>
        <w:separator/>
      </w:r>
    </w:p>
  </w:endnote>
  <w:endnote w:type="continuationSeparator" w:id="0">
    <w:p w14:paraId="5FDF3DBB" w14:textId="77777777" w:rsidR="00FF6E03" w:rsidRDefault="00FF6E03" w:rsidP="003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utiger LT Std 57 Cn">
    <w:panose1 w:val="020B0606020204020204"/>
    <w:charset w:val="00"/>
    <w:family w:val="swiss"/>
    <w:notTrueType/>
    <w:pitch w:val="variable"/>
    <w:sig w:usb0="800000AF" w:usb1="4000204A" w:usb2="00000000" w:usb3="00000000" w:csb0="00000001" w:csb1="00000000"/>
  </w:font>
  <w:font w:name="Times New Roman (Body CS)">
    <w:altName w:val="Times New Roman"/>
    <w:panose1 w:val="020B0604020202020204"/>
    <w:charset w:val="00"/>
    <w:family w:val="roman"/>
    <w:notTrueType/>
    <w:pitch w:val="default"/>
  </w:font>
  <w:font w:name="Frutiger LT Std 47 Light Cn">
    <w:panose1 w:val="020B0706030504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D3A2" w14:textId="1D05D2AA" w:rsidR="00F70EE9" w:rsidRPr="00C50D46" w:rsidRDefault="00F70EE9" w:rsidP="00F70EE9">
    <w:pPr>
      <w:pStyle w:val="Footer"/>
      <w:rPr>
        <w:rFonts w:ascii="Arial Narrow" w:hAnsi="Arial Narrow" w:cs="Calibri Light"/>
        <w:sz w:val="20"/>
        <w:szCs w:val="20"/>
      </w:rPr>
    </w:pPr>
    <w:r w:rsidRPr="00C50D46">
      <w:rPr>
        <w:rFonts w:ascii="Arial Narrow" w:hAnsi="Arial Narrow" w:cs="Calibri Light"/>
        <w:sz w:val="20"/>
        <w:szCs w:val="20"/>
      </w:rPr>
      <w:t xml:space="preserve">© SABES Mathematics and Adult Numeracy Curriculum &amp; Instruction PD </w:t>
    </w:r>
    <w:r w:rsidR="00101E0F" w:rsidRPr="00C50D46">
      <w:rPr>
        <w:rFonts w:ascii="Arial Narrow" w:hAnsi="Arial Narrow" w:cs="Calibri Light"/>
        <w:sz w:val="20"/>
        <w:szCs w:val="20"/>
      </w:rPr>
      <w:t>Team</w:t>
    </w:r>
    <w:r w:rsidRPr="00C50D46">
      <w:rPr>
        <w:rFonts w:ascii="Arial Narrow" w:hAnsi="Arial Narrow" w:cs="Calibri Light"/>
        <w:sz w:val="20"/>
        <w:szCs w:val="20"/>
      </w:rPr>
      <w:tab/>
    </w:r>
    <w:r w:rsidRPr="00C50D46">
      <w:rPr>
        <w:rFonts w:ascii="Arial Narrow" w:hAnsi="Arial Narrow" w:cs="Calibri Light"/>
        <w:sz w:val="20"/>
        <w:szCs w:val="20"/>
      </w:rPr>
      <w:tab/>
    </w:r>
    <w:r w:rsidRPr="00C50D46">
      <w:rPr>
        <w:rFonts w:ascii="Arial Narrow" w:hAnsi="Arial Narrow" w:cs="Calibri Light"/>
        <w:sz w:val="20"/>
        <w:szCs w:val="20"/>
      </w:rPr>
      <w:tab/>
    </w:r>
    <w:r w:rsidRPr="00C50D46">
      <w:rPr>
        <w:rFonts w:ascii="Arial Narrow" w:hAnsi="Arial Narrow" w:cs="Calibri Light"/>
        <w:sz w:val="20"/>
        <w:szCs w:val="20"/>
      </w:rPr>
      <w:tab/>
    </w:r>
    <w:r w:rsidRPr="00C50D46">
      <w:rPr>
        <w:rFonts w:ascii="Arial Narrow" w:hAnsi="Arial Narrow" w:cs="Calibri Light"/>
        <w:sz w:val="20"/>
        <w:szCs w:val="20"/>
      </w:rPr>
      <w:tab/>
    </w:r>
    <w:r w:rsidRPr="00C50D46">
      <w:rPr>
        <w:rFonts w:ascii="Arial Narrow" w:hAnsi="Arial Narrow" w:cs="Calibri Light"/>
        <w:sz w:val="20"/>
        <w:szCs w:val="20"/>
      </w:rPr>
      <w:tab/>
    </w:r>
    <w:r w:rsidRPr="00C50D46">
      <w:rPr>
        <w:rFonts w:ascii="Arial Narrow" w:hAnsi="Arial Narrow" w:cs="Calibri Light"/>
        <w:sz w:val="20"/>
        <w:szCs w:val="20"/>
      </w:rPr>
      <w:tab/>
    </w:r>
    <w:sdt>
      <w:sdtPr>
        <w:rPr>
          <w:rFonts w:ascii="Arial Narrow" w:hAnsi="Arial Narrow" w:cs="Calibri Light"/>
          <w:sz w:val="20"/>
          <w:szCs w:val="20"/>
        </w:rPr>
        <w:id w:val="-1512826228"/>
        <w:docPartObj>
          <w:docPartGallery w:val="Page Numbers (Bottom of Page)"/>
          <w:docPartUnique/>
        </w:docPartObj>
      </w:sdtPr>
      <w:sdtEndPr>
        <w:rPr>
          <w:noProof/>
        </w:rPr>
      </w:sdtEndPr>
      <w:sdtContent>
        <w:r w:rsidR="00770DA0" w:rsidRPr="00C50D46">
          <w:rPr>
            <w:rFonts w:ascii="Arial Narrow" w:hAnsi="Arial Narrow" w:cs="Calibri Light"/>
            <w:sz w:val="20"/>
            <w:szCs w:val="20"/>
          </w:rPr>
          <w:t xml:space="preserve">       </w:t>
        </w:r>
        <w:r w:rsidR="00CE2EE1" w:rsidRPr="00C50D46">
          <w:rPr>
            <w:rFonts w:ascii="Arial Narrow" w:hAnsi="Arial Narrow" w:cs="Calibri Light"/>
            <w:sz w:val="20"/>
            <w:szCs w:val="20"/>
          </w:rPr>
          <w:t xml:space="preserve">    </w:t>
        </w:r>
        <w:r w:rsidRPr="00C50D46">
          <w:rPr>
            <w:rFonts w:ascii="Arial Narrow" w:hAnsi="Arial Narrow" w:cs="Calibri Light"/>
            <w:sz w:val="20"/>
            <w:szCs w:val="20"/>
          </w:rPr>
          <w:fldChar w:fldCharType="begin"/>
        </w:r>
        <w:r w:rsidRPr="00C50D46">
          <w:rPr>
            <w:rFonts w:ascii="Arial Narrow" w:hAnsi="Arial Narrow" w:cs="Calibri Light"/>
            <w:sz w:val="20"/>
            <w:szCs w:val="20"/>
          </w:rPr>
          <w:instrText xml:space="preserve"> PAGE   \* MERGEFORMAT </w:instrText>
        </w:r>
        <w:r w:rsidRPr="00C50D46">
          <w:rPr>
            <w:rFonts w:ascii="Arial Narrow" w:hAnsi="Arial Narrow" w:cs="Calibri Light"/>
            <w:sz w:val="20"/>
            <w:szCs w:val="20"/>
          </w:rPr>
          <w:fldChar w:fldCharType="separate"/>
        </w:r>
        <w:r w:rsidRPr="00C50D46">
          <w:rPr>
            <w:rFonts w:ascii="Arial Narrow" w:hAnsi="Arial Narrow" w:cs="Calibri Light"/>
            <w:sz w:val="20"/>
            <w:szCs w:val="20"/>
          </w:rPr>
          <w:t>2</w:t>
        </w:r>
        <w:r w:rsidRPr="00C50D46">
          <w:rPr>
            <w:rFonts w:ascii="Arial Narrow" w:hAnsi="Arial Narrow" w:cs="Calibri Light"/>
            <w:noProof/>
            <w:sz w:val="20"/>
            <w:szCs w:val="20"/>
          </w:rPr>
          <w:fldChar w:fldCharType="end"/>
        </w:r>
      </w:sdtContent>
    </w:sdt>
    <w:r w:rsidRPr="00C50D46">
      <w:rPr>
        <w:rFonts w:ascii="Arial Narrow" w:hAnsi="Arial Narrow" w:cs="Calibri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8E4B" w14:textId="77777777" w:rsidR="00FF6E03" w:rsidRDefault="00FF6E03" w:rsidP="003935B6">
      <w:pPr>
        <w:spacing w:after="0" w:line="240" w:lineRule="auto"/>
      </w:pPr>
      <w:r>
        <w:separator/>
      </w:r>
    </w:p>
  </w:footnote>
  <w:footnote w:type="continuationSeparator" w:id="0">
    <w:p w14:paraId="0A30C908" w14:textId="77777777" w:rsidR="00FF6E03" w:rsidRDefault="00FF6E03" w:rsidP="0039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E3C8" w14:textId="7FB2BA72" w:rsidR="003935B6" w:rsidRPr="00AD639C" w:rsidRDefault="00E21D62" w:rsidP="00431AD7">
    <w:pPr>
      <w:jc w:val="center"/>
      <w:rPr>
        <w:b/>
        <w:bCs/>
      </w:rPr>
    </w:pPr>
    <w:r w:rsidRPr="00EC0D41">
      <w:rPr>
        <w:b/>
        <w:bCs/>
        <w:noProof/>
      </w:rPr>
      <w:drawing>
        <wp:inline distT="0" distB="0" distL="0" distR="0" wp14:anchorId="2155AB4B" wp14:editId="4558F30D">
          <wp:extent cx="4539615" cy="619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9259" b="15509"/>
                  <a:stretch>
                    <a:fillRect/>
                  </a:stretch>
                </pic:blipFill>
                <pic:spPr bwMode="auto">
                  <a:xfrm>
                    <a:off x="0" y="0"/>
                    <a:ext cx="4539615" cy="6191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4DA9" w14:textId="77777777" w:rsidR="00E21D62" w:rsidRPr="009D6460" w:rsidRDefault="00E21D62" w:rsidP="00431AD7">
    <w:pPr>
      <w:pStyle w:val="Heading1"/>
    </w:pPr>
    <w:r w:rsidRPr="009D6460">
      <w:rPr>
        <w:noProof/>
      </w:rPr>
      <w:drawing>
        <wp:anchor distT="0" distB="0" distL="114300" distR="114300" simplePos="0" relativeHeight="251659264" behindDoc="0" locked="0" layoutInCell="1" allowOverlap="1" wp14:anchorId="01632138" wp14:editId="52FE0622">
          <wp:simplePos x="0" y="0"/>
          <wp:positionH relativeFrom="column">
            <wp:posOffset>5080</wp:posOffset>
          </wp:positionH>
          <wp:positionV relativeFrom="paragraph">
            <wp:posOffset>-163195</wp:posOffset>
          </wp:positionV>
          <wp:extent cx="1078992" cy="688221"/>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8992" cy="688221"/>
                  </a:xfrm>
                  <a:prstGeom prst="rect">
                    <a:avLst/>
                  </a:prstGeom>
                </pic:spPr>
              </pic:pic>
            </a:graphicData>
          </a:graphic>
          <wp14:sizeRelH relativeFrom="page">
            <wp14:pctWidth>0</wp14:pctWidth>
          </wp14:sizeRelH>
          <wp14:sizeRelV relativeFrom="page">
            <wp14:pctHeight>0</wp14:pctHeight>
          </wp14:sizeRelV>
        </wp:anchor>
      </w:drawing>
    </w:r>
    <w:r w:rsidRPr="009D6460">
      <w:t>BACK TO SCHOOL MATH RESOURCES</w:t>
    </w:r>
  </w:p>
  <w:p w14:paraId="16787D06" w14:textId="77777777" w:rsidR="00E21D62" w:rsidRDefault="00E21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E42"/>
    <w:multiLevelType w:val="hybridMultilevel"/>
    <w:tmpl w:val="2EF87008"/>
    <w:lvl w:ilvl="0" w:tplc="8C6233A6">
      <w:start w:val="1"/>
      <w:numFmt w:val="bullet"/>
      <w:lvlText w:val=""/>
      <w:lvlJc w:val="left"/>
      <w:pPr>
        <w:ind w:left="700" w:hanging="360"/>
      </w:pPr>
      <w:rPr>
        <w:rFonts w:ascii="Symbol" w:hAnsi="Symbol" w:hint="default"/>
        <w:b w:val="0"/>
        <w:i w:val="0"/>
        <w:color w:val="ED7D31" w:themeColor="accent2"/>
        <w:sz w:val="28"/>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 w15:restartNumberingAfterBreak="0">
    <w:nsid w:val="0B4E5E2B"/>
    <w:multiLevelType w:val="hybridMultilevel"/>
    <w:tmpl w:val="C142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10B7A"/>
    <w:multiLevelType w:val="hybridMultilevel"/>
    <w:tmpl w:val="BBEA99B0"/>
    <w:lvl w:ilvl="0" w:tplc="81E840AA">
      <w:start w:val="1"/>
      <w:numFmt w:val="bullet"/>
      <w:lvlText w:val=""/>
      <w:lvlJc w:val="left"/>
      <w:pPr>
        <w:ind w:left="888" w:hanging="360"/>
      </w:pPr>
      <w:rPr>
        <w:rFonts w:ascii="Symbol" w:hAnsi="Symbol" w:hint="default"/>
        <w:b w:val="0"/>
        <w:i w:val="0"/>
        <w:color w:val="ED7D31" w:themeColor="accent2"/>
        <w:sz w:val="24"/>
        <w:szCs w:val="24"/>
      </w:rPr>
    </w:lvl>
    <w:lvl w:ilvl="1" w:tplc="FFFFFFFF" w:tentative="1">
      <w:start w:val="1"/>
      <w:numFmt w:val="bullet"/>
      <w:lvlText w:val="o"/>
      <w:lvlJc w:val="left"/>
      <w:pPr>
        <w:ind w:left="1608" w:hanging="360"/>
      </w:pPr>
      <w:rPr>
        <w:rFonts w:ascii="Courier New" w:hAnsi="Courier New" w:cs="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cs="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cs="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 w15:restartNumberingAfterBreak="0">
    <w:nsid w:val="2B650ED9"/>
    <w:multiLevelType w:val="hybridMultilevel"/>
    <w:tmpl w:val="89FC1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79016F"/>
    <w:multiLevelType w:val="hybridMultilevel"/>
    <w:tmpl w:val="8236E664"/>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32F34F97"/>
    <w:multiLevelType w:val="hybridMultilevel"/>
    <w:tmpl w:val="067C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635E0"/>
    <w:multiLevelType w:val="hybridMultilevel"/>
    <w:tmpl w:val="18FCBEB0"/>
    <w:lvl w:ilvl="0" w:tplc="8C6233A6">
      <w:start w:val="1"/>
      <w:numFmt w:val="bullet"/>
      <w:lvlText w:val=""/>
      <w:lvlJc w:val="left"/>
      <w:pPr>
        <w:ind w:left="792" w:hanging="360"/>
      </w:pPr>
      <w:rPr>
        <w:rFonts w:ascii="Symbol" w:hAnsi="Symbol" w:hint="default"/>
        <w:b w:val="0"/>
        <w:i w:val="0"/>
        <w:color w:val="ED7D31" w:themeColor="accent2"/>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7FA708BB"/>
    <w:multiLevelType w:val="hybridMultilevel"/>
    <w:tmpl w:val="3F9252F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16cid:durableId="1910648311">
    <w:abstractNumId w:val="1"/>
  </w:num>
  <w:num w:numId="2" w16cid:durableId="1344937733">
    <w:abstractNumId w:val="5"/>
  </w:num>
  <w:num w:numId="3" w16cid:durableId="1766070731">
    <w:abstractNumId w:val="4"/>
  </w:num>
  <w:num w:numId="4" w16cid:durableId="759643306">
    <w:abstractNumId w:val="0"/>
  </w:num>
  <w:num w:numId="5" w16cid:durableId="1654721868">
    <w:abstractNumId w:val="6"/>
  </w:num>
  <w:num w:numId="6" w16cid:durableId="1224367113">
    <w:abstractNumId w:val="7"/>
  </w:num>
  <w:num w:numId="7" w16cid:durableId="1794013159">
    <w:abstractNumId w:val="2"/>
  </w:num>
  <w:num w:numId="8" w16cid:durableId="1428847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09"/>
    <w:rsid w:val="000005A0"/>
    <w:rsid w:val="000075D6"/>
    <w:rsid w:val="00041EF7"/>
    <w:rsid w:val="0005274C"/>
    <w:rsid w:val="000660B2"/>
    <w:rsid w:val="000660D1"/>
    <w:rsid w:val="000776F0"/>
    <w:rsid w:val="00080811"/>
    <w:rsid w:val="000914ED"/>
    <w:rsid w:val="000B71FA"/>
    <w:rsid w:val="000E0D8E"/>
    <w:rsid w:val="000E383E"/>
    <w:rsid w:val="00101E0F"/>
    <w:rsid w:val="00125870"/>
    <w:rsid w:val="00131DCF"/>
    <w:rsid w:val="001433DD"/>
    <w:rsid w:val="00160C4C"/>
    <w:rsid w:val="001B583F"/>
    <w:rsid w:val="001C7E77"/>
    <w:rsid w:val="001D114B"/>
    <w:rsid w:val="00233C6E"/>
    <w:rsid w:val="002364EB"/>
    <w:rsid w:val="0026248C"/>
    <w:rsid w:val="00265B76"/>
    <w:rsid w:val="0027032B"/>
    <w:rsid w:val="002A2716"/>
    <w:rsid w:val="002B1566"/>
    <w:rsid w:val="002B52C4"/>
    <w:rsid w:val="002C3DC2"/>
    <w:rsid w:val="002C531F"/>
    <w:rsid w:val="002D5ED4"/>
    <w:rsid w:val="002E5D01"/>
    <w:rsid w:val="002F2CB6"/>
    <w:rsid w:val="00387612"/>
    <w:rsid w:val="003935B6"/>
    <w:rsid w:val="003B2ECC"/>
    <w:rsid w:val="003D11B3"/>
    <w:rsid w:val="003F40D6"/>
    <w:rsid w:val="004048CD"/>
    <w:rsid w:val="00411348"/>
    <w:rsid w:val="0041249A"/>
    <w:rsid w:val="00417BEC"/>
    <w:rsid w:val="00421746"/>
    <w:rsid w:val="004267DE"/>
    <w:rsid w:val="00431AD7"/>
    <w:rsid w:val="00441B9A"/>
    <w:rsid w:val="004716AA"/>
    <w:rsid w:val="0048454B"/>
    <w:rsid w:val="004852E6"/>
    <w:rsid w:val="004875D0"/>
    <w:rsid w:val="00491378"/>
    <w:rsid w:val="004A1A49"/>
    <w:rsid w:val="004A24D0"/>
    <w:rsid w:val="004C61B0"/>
    <w:rsid w:val="004D56B8"/>
    <w:rsid w:val="004E284C"/>
    <w:rsid w:val="004F45C9"/>
    <w:rsid w:val="005011E3"/>
    <w:rsid w:val="00505D1F"/>
    <w:rsid w:val="005211D1"/>
    <w:rsid w:val="00536316"/>
    <w:rsid w:val="00536982"/>
    <w:rsid w:val="005427FE"/>
    <w:rsid w:val="00555709"/>
    <w:rsid w:val="00584E41"/>
    <w:rsid w:val="005A7070"/>
    <w:rsid w:val="005B5A8F"/>
    <w:rsid w:val="005E6DB5"/>
    <w:rsid w:val="005F063E"/>
    <w:rsid w:val="0060641E"/>
    <w:rsid w:val="00616BE6"/>
    <w:rsid w:val="0062721E"/>
    <w:rsid w:val="00647168"/>
    <w:rsid w:val="00655EE5"/>
    <w:rsid w:val="00655FCA"/>
    <w:rsid w:val="006603CB"/>
    <w:rsid w:val="00666DB2"/>
    <w:rsid w:val="006714B5"/>
    <w:rsid w:val="00677C7B"/>
    <w:rsid w:val="006906C2"/>
    <w:rsid w:val="006B74ED"/>
    <w:rsid w:val="006C214E"/>
    <w:rsid w:val="006C7405"/>
    <w:rsid w:val="006C7BC8"/>
    <w:rsid w:val="006E6373"/>
    <w:rsid w:val="006E71A9"/>
    <w:rsid w:val="00736A31"/>
    <w:rsid w:val="00740F21"/>
    <w:rsid w:val="00744F3D"/>
    <w:rsid w:val="00752AEB"/>
    <w:rsid w:val="00763C40"/>
    <w:rsid w:val="00770DA0"/>
    <w:rsid w:val="00776176"/>
    <w:rsid w:val="00786F6B"/>
    <w:rsid w:val="00793528"/>
    <w:rsid w:val="00796D11"/>
    <w:rsid w:val="007D65DF"/>
    <w:rsid w:val="007E6710"/>
    <w:rsid w:val="007F2B3D"/>
    <w:rsid w:val="0080274D"/>
    <w:rsid w:val="008063DE"/>
    <w:rsid w:val="0081388E"/>
    <w:rsid w:val="008141E0"/>
    <w:rsid w:val="00830BD2"/>
    <w:rsid w:val="0083655B"/>
    <w:rsid w:val="00842C4B"/>
    <w:rsid w:val="00851C02"/>
    <w:rsid w:val="00857E12"/>
    <w:rsid w:val="00862E02"/>
    <w:rsid w:val="00863024"/>
    <w:rsid w:val="008816C1"/>
    <w:rsid w:val="00887313"/>
    <w:rsid w:val="0089042C"/>
    <w:rsid w:val="008B6BA5"/>
    <w:rsid w:val="008C0E19"/>
    <w:rsid w:val="008D2A99"/>
    <w:rsid w:val="008F3A20"/>
    <w:rsid w:val="00907EAC"/>
    <w:rsid w:val="0092416B"/>
    <w:rsid w:val="00925F4D"/>
    <w:rsid w:val="009326A8"/>
    <w:rsid w:val="0093351C"/>
    <w:rsid w:val="0094379E"/>
    <w:rsid w:val="009952C7"/>
    <w:rsid w:val="009D452A"/>
    <w:rsid w:val="009D6460"/>
    <w:rsid w:val="009D6622"/>
    <w:rsid w:val="009E4439"/>
    <w:rsid w:val="009E7C3C"/>
    <w:rsid w:val="009F66EC"/>
    <w:rsid w:val="00A153CA"/>
    <w:rsid w:val="00A254BE"/>
    <w:rsid w:val="00A26FD9"/>
    <w:rsid w:val="00A34A96"/>
    <w:rsid w:val="00A3639A"/>
    <w:rsid w:val="00A51D97"/>
    <w:rsid w:val="00AB4754"/>
    <w:rsid w:val="00AC0D72"/>
    <w:rsid w:val="00AD639C"/>
    <w:rsid w:val="00B36790"/>
    <w:rsid w:val="00B6122F"/>
    <w:rsid w:val="00B665C6"/>
    <w:rsid w:val="00B70D44"/>
    <w:rsid w:val="00B73B1E"/>
    <w:rsid w:val="00B960E0"/>
    <w:rsid w:val="00BA46E2"/>
    <w:rsid w:val="00BB2394"/>
    <w:rsid w:val="00BC7CA7"/>
    <w:rsid w:val="00BD4591"/>
    <w:rsid w:val="00BD4A04"/>
    <w:rsid w:val="00BD698B"/>
    <w:rsid w:val="00BE6C7E"/>
    <w:rsid w:val="00BF1D3E"/>
    <w:rsid w:val="00C157FF"/>
    <w:rsid w:val="00C406EF"/>
    <w:rsid w:val="00C442D1"/>
    <w:rsid w:val="00C449B9"/>
    <w:rsid w:val="00C50D46"/>
    <w:rsid w:val="00C55683"/>
    <w:rsid w:val="00C7403F"/>
    <w:rsid w:val="00C81B6A"/>
    <w:rsid w:val="00CC445B"/>
    <w:rsid w:val="00CD5DE7"/>
    <w:rsid w:val="00CE2EE1"/>
    <w:rsid w:val="00CE370F"/>
    <w:rsid w:val="00CE574F"/>
    <w:rsid w:val="00CE7052"/>
    <w:rsid w:val="00CF280F"/>
    <w:rsid w:val="00CF3C90"/>
    <w:rsid w:val="00D114CA"/>
    <w:rsid w:val="00D243A7"/>
    <w:rsid w:val="00D4137C"/>
    <w:rsid w:val="00D51F6E"/>
    <w:rsid w:val="00D530AB"/>
    <w:rsid w:val="00D55CE5"/>
    <w:rsid w:val="00D56B45"/>
    <w:rsid w:val="00DA6130"/>
    <w:rsid w:val="00DC02E3"/>
    <w:rsid w:val="00DE6788"/>
    <w:rsid w:val="00E102F1"/>
    <w:rsid w:val="00E10B85"/>
    <w:rsid w:val="00E21D62"/>
    <w:rsid w:val="00E41FD0"/>
    <w:rsid w:val="00E572BD"/>
    <w:rsid w:val="00E63BBE"/>
    <w:rsid w:val="00EB1591"/>
    <w:rsid w:val="00EC0D41"/>
    <w:rsid w:val="00EC1EE2"/>
    <w:rsid w:val="00EE2BEE"/>
    <w:rsid w:val="00F41546"/>
    <w:rsid w:val="00F70EE9"/>
    <w:rsid w:val="00F82717"/>
    <w:rsid w:val="00F92754"/>
    <w:rsid w:val="00F92F86"/>
    <w:rsid w:val="00FA1110"/>
    <w:rsid w:val="00FB4C70"/>
    <w:rsid w:val="00FB6239"/>
    <w:rsid w:val="00FC234C"/>
    <w:rsid w:val="00FC2C6F"/>
    <w:rsid w:val="00FD31BB"/>
    <w:rsid w:val="00FD3B21"/>
    <w:rsid w:val="00FE09E0"/>
    <w:rsid w:val="00FE503D"/>
    <w:rsid w:val="00FF6E03"/>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3BC7B"/>
  <w15:chartTrackingRefBased/>
  <w15:docId w15:val="{FF1C44A0-8E5D-492E-A400-D71F551E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AD7"/>
    <w:pPr>
      <w:keepNext/>
      <w:keepLines/>
      <w:pBdr>
        <w:top w:val="single" w:sz="4" w:space="1" w:color="auto"/>
        <w:bottom w:val="single" w:sz="4" w:space="1" w:color="auto"/>
      </w:pBdr>
      <w:spacing w:before="240" w:after="0" w:line="240" w:lineRule="auto"/>
      <w:ind w:right="90"/>
      <w:outlineLvl w:val="0"/>
    </w:pPr>
    <w:rPr>
      <w:rFonts w:ascii="Frutiger LT Std 57 Cn" w:eastAsiaTheme="majorEastAsia" w:hAnsi="Frutiger LT Std 57 Cn" w:cstheme="majorBidi"/>
      <w:b/>
      <w:bCs/>
      <w:color w:val="C45911" w:themeColor="accent2" w:themeShade="BF"/>
      <w:sz w:val="36"/>
      <w:szCs w:val="36"/>
    </w:rPr>
  </w:style>
  <w:style w:type="paragraph" w:styleId="Heading2">
    <w:name w:val="heading 2"/>
    <w:basedOn w:val="Normal"/>
    <w:next w:val="Normal"/>
    <w:link w:val="Heading2Char"/>
    <w:uiPriority w:val="9"/>
    <w:unhideWhenUsed/>
    <w:qFormat/>
    <w:rsid w:val="009952C7"/>
    <w:pPr>
      <w:spacing w:before="120" w:after="120" w:line="240" w:lineRule="auto"/>
      <w:outlineLvl w:val="1"/>
    </w:pPr>
    <w:rPr>
      <w:rFonts w:ascii="Frutiger LT Std 57 Cn" w:hAnsi="Frutiger LT Std 57 Cn" w:cs="Times New Roman (Body CS)"/>
      <w:b/>
      <w:bCs/>
      <w:caps/>
      <w:color w:val="FFFFFF" w:themeColor="background1"/>
      <w:sz w:val="24"/>
      <w:szCs w:val="24"/>
    </w:rPr>
  </w:style>
  <w:style w:type="paragraph" w:styleId="Heading3">
    <w:name w:val="heading 3"/>
    <w:basedOn w:val="Normal"/>
    <w:next w:val="Normal"/>
    <w:link w:val="Heading3Char"/>
    <w:autoRedefine/>
    <w:uiPriority w:val="9"/>
    <w:unhideWhenUsed/>
    <w:qFormat/>
    <w:rsid w:val="00EB1591"/>
    <w:pPr>
      <w:snapToGrid w:val="0"/>
      <w:spacing w:before="80" w:after="80" w:line="240" w:lineRule="auto"/>
      <w:outlineLvl w:val="2"/>
    </w:pPr>
    <w:rPr>
      <w:rFonts w:ascii="Frutiger LT Std 47 Light Cn" w:hAnsi="Frutiger LT Std 47 Light Cn" w:cs="Times New Roman (Body 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AD7"/>
    <w:rPr>
      <w:rFonts w:ascii="Frutiger LT Std 57 Cn" w:eastAsiaTheme="majorEastAsia" w:hAnsi="Frutiger LT Std 57 Cn" w:cstheme="majorBidi"/>
      <w:b/>
      <w:bCs/>
      <w:color w:val="C45911" w:themeColor="accent2" w:themeShade="BF"/>
      <w:sz w:val="36"/>
      <w:szCs w:val="36"/>
    </w:rPr>
  </w:style>
  <w:style w:type="character" w:styleId="Hyperlink">
    <w:name w:val="Hyperlink"/>
    <w:basedOn w:val="DefaultParagraphFont"/>
    <w:uiPriority w:val="99"/>
    <w:unhideWhenUsed/>
    <w:rsid w:val="006C7405"/>
    <w:rPr>
      <w:color w:val="0563C1" w:themeColor="hyperlink"/>
      <w:u w:val="single"/>
    </w:rPr>
  </w:style>
  <w:style w:type="character" w:styleId="UnresolvedMention">
    <w:name w:val="Unresolved Mention"/>
    <w:basedOn w:val="DefaultParagraphFont"/>
    <w:uiPriority w:val="99"/>
    <w:semiHidden/>
    <w:unhideWhenUsed/>
    <w:rsid w:val="006C7405"/>
    <w:rPr>
      <w:color w:val="605E5C"/>
      <w:shd w:val="clear" w:color="auto" w:fill="E1DFDD"/>
    </w:rPr>
  </w:style>
  <w:style w:type="paragraph" w:styleId="Header">
    <w:name w:val="header"/>
    <w:basedOn w:val="Normal"/>
    <w:link w:val="HeaderChar"/>
    <w:uiPriority w:val="99"/>
    <w:unhideWhenUsed/>
    <w:rsid w:val="0039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5B6"/>
  </w:style>
  <w:style w:type="paragraph" w:styleId="Footer">
    <w:name w:val="footer"/>
    <w:basedOn w:val="Normal"/>
    <w:link w:val="FooterChar"/>
    <w:uiPriority w:val="99"/>
    <w:unhideWhenUsed/>
    <w:rsid w:val="0039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5B6"/>
  </w:style>
  <w:style w:type="paragraph" w:styleId="ListParagraph">
    <w:name w:val="List Paragraph"/>
    <w:basedOn w:val="Normal"/>
    <w:uiPriority w:val="34"/>
    <w:qFormat/>
    <w:rsid w:val="00CF280F"/>
    <w:pPr>
      <w:ind w:left="720"/>
      <w:contextualSpacing/>
    </w:pPr>
  </w:style>
  <w:style w:type="table" w:styleId="TableGrid">
    <w:name w:val="Table Grid"/>
    <w:basedOn w:val="TableNormal"/>
    <w:uiPriority w:val="39"/>
    <w:rsid w:val="00FF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FF77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9326A8"/>
    <w:rPr>
      <w:color w:val="954F72" w:themeColor="followedHyperlink"/>
      <w:u w:val="single"/>
    </w:rPr>
  </w:style>
  <w:style w:type="character" w:styleId="SubtleEmphasis">
    <w:name w:val="Subtle Emphasis"/>
    <w:basedOn w:val="DefaultParagraphFont"/>
    <w:uiPriority w:val="19"/>
    <w:qFormat/>
    <w:rsid w:val="00842C4B"/>
    <w:rPr>
      <w:i/>
      <w:iCs/>
      <w:color w:val="404040" w:themeColor="text1" w:themeTint="BF"/>
    </w:rPr>
  </w:style>
  <w:style w:type="character" w:styleId="Strong">
    <w:name w:val="Strong"/>
    <w:basedOn w:val="DefaultParagraphFont"/>
    <w:uiPriority w:val="22"/>
    <w:qFormat/>
    <w:rsid w:val="00655EE5"/>
    <w:rPr>
      <w:b/>
      <w:bCs/>
    </w:rPr>
  </w:style>
  <w:style w:type="character" w:customStyle="1" w:styleId="Heading2Char">
    <w:name w:val="Heading 2 Char"/>
    <w:basedOn w:val="DefaultParagraphFont"/>
    <w:link w:val="Heading2"/>
    <w:uiPriority w:val="9"/>
    <w:rsid w:val="009952C7"/>
    <w:rPr>
      <w:rFonts w:ascii="Frutiger LT Std 57 Cn" w:hAnsi="Frutiger LT Std 57 Cn" w:cs="Times New Roman (Body CS)"/>
      <w:b/>
      <w:bCs/>
      <w:caps/>
      <w:color w:val="FFFFFF" w:themeColor="background1"/>
      <w:sz w:val="24"/>
      <w:szCs w:val="24"/>
    </w:rPr>
  </w:style>
  <w:style w:type="character" w:customStyle="1" w:styleId="Heading3Char">
    <w:name w:val="Heading 3 Char"/>
    <w:basedOn w:val="DefaultParagraphFont"/>
    <w:link w:val="Heading3"/>
    <w:uiPriority w:val="9"/>
    <w:rsid w:val="00EB1591"/>
    <w:rPr>
      <w:rFonts w:ascii="Frutiger LT Std 47 Light Cn" w:hAnsi="Frutiger LT Std 47 Light Cn" w:cs="Times New Roman (Body 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rc.edu/becalm/wp-content/uploads/sites/53/2025/05/BeCALM-Scope-and-Sequence-Table_v5.pdf" TargetMode="External"/><Relationship Id="rId18" Type="http://schemas.openxmlformats.org/officeDocument/2006/relationships/hyperlink" Target="https://sabes.org/content/pd-support-curriculum-adults-teaching-math-calm" TargetMode="External"/><Relationship Id="rId26" Type="http://schemas.openxmlformats.org/officeDocument/2006/relationships/hyperlink" Target="https://sabes.catalog.instructure.com/courses/reasoning-with-ratios-in-the-esol-classroom" TargetMode="External"/><Relationship Id="rId39" Type="http://schemas.openxmlformats.org/officeDocument/2006/relationships/header" Target="header1.xml"/><Relationship Id="rId21" Type="http://schemas.openxmlformats.org/officeDocument/2006/relationships/hyperlink" Target="https://sabes.catalog.instructure.com/?query=CALM" TargetMode="External"/><Relationship Id="rId34" Type="http://schemas.openxmlformats.org/officeDocument/2006/relationships/hyperlink" Target="https://sabes.org/content/will-be-test-inspiration-tackling-standardized-test-questions-conceptually-and-creatively" TargetMode="External"/><Relationship Id="rId42" Type="http://schemas.openxmlformats.org/officeDocument/2006/relationships/fontTable" Target="fontTable.xml"/><Relationship Id="rId7" Type="http://schemas.openxmlformats.org/officeDocument/2006/relationships/hyperlink" Target="https://www.sabes.org/content/earning-pdps-sabes-math-activities" TargetMode="External"/><Relationship Id="rId2" Type="http://schemas.openxmlformats.org/officeDocument/2006/relationships/styles" Target="styles.xml"/><Relationship Id="rId16" Type="http://schemas.openxmlformats.org/officeDocument/2006/relationships/hyperlink" Target="https://sabes.catalog.instructure.com/?query=BeCALM" TargetMode="External"/><Relationship Id="rId20" Type="http://schemas.openxmlformats.org/officeDocument/2006/relationships/hyperlink" Target="https://sabes.catalog.instructure.com/courses/calm-introduction" TargetMode="External"/><Relationship Id="rId29" Type="http://schemas.openxmlformats.org/officeDocument/2006/relationships/hyperlink" Target="https://sabes.catalog.instructure.com/courses/ld-teaching-strategies-for-math"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c.edu/becalm/curriculum/" TargetMode="External"/><Relationship Id="rId24" Type="http://schemas.openxmlformats.org/officeDocument/2006/relationships/hyperlink" Target="https://sabes.org/content/resources-teaching-math-english-language-learners/math-and-numeracy-sabes-mathematics-and" TargetMode="External"/><Relationship Id="rId32" Type="http://schemas.openxmlformats.org/officeDocument/2006/relationships/hyperlink" Target="https://udlguidelines.cast.org/" TargetMode="External"/><Relationship Id="rId37" Type="http://schemas.openxmlformats.org/officeDocument/2006/relationships/hyperlink" Target="mailto:sherry_soares@terc.ed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abes.catalog.instructure.com/courses/draft---introduction-to-becalm" TargetMode="External"/><Relationship Id="rId23" Type="http://schemas.openxmlformats.org/officeDocument/2006/relationships/hyperlink" Target="https://sabes.org/content/resources-teaching-math-english-language-learners/math-and-numeracy-sabes-mathematics-and" TargetMode="External"/><Relationship Id="rId28" Type="http://schemas.openxmlformats.org/officeDocument/2006/relationships/hyperlink" Target="https://sabes.org/content/resources-teaching-students-learning-differences/math-and-numeracy-sabes-mathematics-and" TargetMode="External"/><Relationship Id="rId36" Type="http://schemas.openxmlformats.org/officeDocument/2006/relationships/hyperlink" Target="mailto:heidi_schuler@terc.edu" TargetMode="External"/><Relationship Id="rId10" Type="http://schemas.openxmlformats.org/officeDocument/2006/relationships/hyperlink" Target="https://www.sabes.org/content/college-and-career-readiness-standards-adult-education-math-excerpt" TargetMode="External"/><Relationship Id="rId19" Type="http://schemas.openxmlformats.org/officeDocument/2006/relationships/hyperlink" Target="https://www.terc.edu/calm/wp-content/uploads/sites/15/2020/10/CALM_ScopeSeq_Overview.pdf" TargetMode="External"/><Relationship Id="rId31" Type="http://schemas.openxmlformats.org/officeDocument/2006/relationships/hyperlink" Target="https://sabes.catalog.instructure.com/courses/using-the-math-proficiency-guide-to-become-a-more-effective-math-teacher" TargetMode="External"/><Relationship Id="rId4" Type="http://schemas.openxmlformats.org/officeDocument/2006/relationships/webSettings" Target="webSettings.xml"/><Relationship Id="rId9" Type="http://schemas.openxmlformats.org/officeDocument/2006/relationships/hyperlink" Target="https://www.doe.mass.edu/acls/edueffectiveness/prof-standards.pdf" TargetMode="External"/><Relationship Id="rId14" Type="http://schemas.openxmlformats.org/officeDocument/2006/relationships/hyperlink" Target="https://www.terc.edu/becalm/wp-content/uploads/sites/53/2025/03/BeCALM-CCRSAE-Crosswalk_v6.pdf" TargetMode="External"/><Relationship Id="rId22" Type="http://schemas.openxmlformats.org/officeDocument/2006/relationships/hyperlink" Target="https://sabes.org/content/integrating-math-esol-units-math-packets-esol-teachers/math-and-numeracy-sabes-mathematics" TargetMode="External"/><Relationship Id="rId27" Type="http://schemas.openxmlformats.org/officeDocument/2006/relationships/hyperlink" Target="https://sabes.catalog.instructure.com/courses/english-learners-in-the-abe-math-classroom" TargetMode="External"/><Relationship Id="rId30" Type="http://schemas.openxmlformats.org/officeDocument/2006/relationships/hyperlink" Target="https://sabes.org/content/resources-teacher-growth-and-support/math-and-numeracy-sabes-mathematics-and-adult-numeracy" TargetMode="External"/><Relationship Id="rId35" Type="http://schemas.openxmlformats.org/officeDocument/2006/relationships/hyperlink" Target="https://sabes.catalog.instructure.com/courses/will-this-be-on-the-test" TargetMode="External"/><Relationship Id="rId43" Type="http://schemas.openxmlformats.org/officeDocument/2006/relationships/theme" Target="theme/theme1.xml"/><Relationship Id="rId8" Type="http://schemas.openxmlformats.org/officeDocument/2006/relationships/hyperlink" Target="https://www.sabes.org/sites/default/files/resources/HQPD_AE_Standards_Onepager_rev2019-09-04_1.pdf" TargetMode="External"/><Relationship Id="rId3" Type="http://schemas.openxmlformats.org/officeDocument/2006/relationships/settings" Target="settings.xml"/><Relationship Id="rId12" Type="http://schemas.openxmlformats.org/officeDocument/2006/relationships/hyperlink" Target="https://www.terc.edu/becalm/" TargetMode="External"/><Relationship Id="rId17" Type="http://schemas.openxmlformats.org/officeDocument/2006/relationships/hyperlink" Target="https://www.terc.edu/calm" TargetMode="External"/><Relationship Id="rId25" Type="http://schemas.openxmlformats.org/officeDocument/2006/relationships/hyperlink" Target="https://sabes.catalog.instructure.com/courses/getting-started-with-integrating-math-in-the-esol-classroom" TargetMode="External"/><Relationship Id="rId33" Type="http://schemas.openxmlformats.org/officeDocument/2006/relationships/hyperlink" Target="https://sabes.org/content/resources-teaching-math-remotely/math-and-numeracy-sabes-mathematics-and-adult-numeracy" TargetMode="External"/><Relationship Id="rId38" Type="http://schemas.openxmlformats.org/officeDocument/2006/relationships/hyperlink" Target="mailto:connie_rivera@ter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Schuler-Jones</dc:creator>
  <cp:keywords/>
  <dc:description/>
  <cp:lastModifiedBy>Sherry Soares</cp:lastModifiedBy>
  <cp:revision>34</cp:revision>
  <dcterms:created xsi:type="dcterms:W3CDTF">2024-09-03T20:04:00Z</dcterms:created>
  <dcterms:modified xsi:type="dcterms:W3CDTF">2025-09-02T18:15:00Z</dcterms:modified>
</cp:coreProperties>
</file>