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F7241" w14:textId="77777777" w:rsidR="00287CC1" w:rsidRDefault="001A5AB7">
      <w:pPr>
        <w:pStyle w:val="Heading1"/>
        <w:spacing w:before="0" w:line="276" w:lineRule="auto"/>
        <w:jc w:val="center"/>
        <w:rPr>
          <w:sz w:val="28"/>
          <w:szCs w:val="28"/>
        </w:rPr>
      </w:pPr>
      <w:bookmarkStart w:id="0" w:name="_heading=h.5rxg3wuseiei" w:colFirst="0" w:colLast="0"/>
      <w:bookmarkEnd w:id="0"/>
      <w:r>
        <w:rPr>
          <w:rFonts w:ascii="Century Gothic" w:eastAsia="Century Gothic" w:hAnsi="Century Gothic" w:cs="Century Gothic"/>
          <w:noProof/>
          <w:sz w:val="40"/>
          <w:szCs w:val="40"/>
        </w:rPr>
        <w:drawing>
          <wp:inline distT="114300" distB="114300" distL="114300" distR="114300" wp14:anchorId="561E42C0" wp14:editId="61F3B443">
            <wp:extent cx="4319588" cy="780849"/>
            <wp:effectExtent l="0" t="0" r="0" b="0"/>
            <wp:docPr id="2"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0"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319588" cy="780849"/>
                    </a:xfrm>
                    <a:prstGeom prst="rect">
                      <a:avLst/>
                    </a:prstGeom>
                    <a:ln/>
                  </pic:spPr>
                </pic:pic>
              </a:graphicData>
            </a:graphic>
          </wp:inline>
        </w:drawing>
      </w:r>
    </w:p>
    <w:p w14:paraId="3C61C684" w14:textId="0E0991AB" w:rsidR="00DF7C91" w:rsidRDefault="001A5AB7" w:rsidP="00DF7C91">
      <w:pPr>
        <w:pStyle w:val="Heading1"/>
        <w:spacing w:before="0"/>
        <w:jc w:val="center"/>
        <w:rPr>
          <w:rFonts w:ascii="Century Gothic" w:eastAsia="Century Gothic" w:hAnsi="Century Gothic" w:cs="Century Gothic"/>
          <w:sz w:val="40"/>
          <w:szCs w:val="40"/>
        </w:rPr>
      </w:pPr>
      <w:bookmarkStart w:id="1" w:name="_heading=h.xu4cwjbastwa" w:colFirst="0" w:colLast="0"/>
      <w:bookmarkEnd w:id="1"/>
      <w:r>
        <w:rPr>
          <w:rFonts w:ascii="Century Gothic" w:eastAsia="Century Gothic" w:hAnsi="Century Gothic" w:cs="Century Gothic"/>
          <w:sz w:val="40"/>
          <w:szCs w:val="40"/>
        </w:rPr>
        <w:t>Educator Growth and Evaluation Model</w:t>
      </w:r>
      <w:bookmarkStart w:id="2" w:name="_heading=h.ccfes1vn4y0m" w:colFirst="0" w:colLast="0"/>
      <w:bookmarkEnd w:id="2"/>
    </w:p>
    <w:p w14:paraId="38F15F18" w14:textId="3998F7A8" w:rsidR="00287CC1" w:rsidRDefault="001A5AB7" w:rsidP="00DF7C91">
      <w:pPr>
        <w:pStyle w:val="Heading1"/>
        <w:spacing w:before="0"/>
        <w:jc w:val="center"/>
        <w:rPr>
          <w:rFonts w:ascii="Century Gothic" w:eastAsia="Century Gothic" w:hAnsi="Century Gothic" w:cs="Century Gothic"/>
          <w:sz w:val="40"/>
          <w:szCs w:val="40"/>
        </w:rPr>
      </w:pPr>
      <w:r>
        <w:rPr>
          <w:rFonts w:ascii="Century Gothic" w:eastAsia="Century Gothic" w:hAnsi="Century Gothic" w:cs="Century Gothic"/>
          <w:sz w:val="40"/>
          <w:szCs w:val="40"/>
        </w:rPr>
        <w:t>Four Key Coaching Strategies</w:t>
      </w:r>
    </w:p>
    <w:p w14:paraId="1ED9FFFA" w14:textId="77777777" w:rsidR="00287CC1" w:rsidRDefault="001A5AB7">
      <w:pPr>
        <w:pStyle w:val="Subtitle"/>
        <w:rPr>
          <w:color w:val="000000"/>
        </w:rPr>
      </w:pPr>
      <w:bookmarkStart w:id="3" w:name="_heading=h.sbep8450mp79" w:colFirst="0" w:colLast="0"/>
      <w:bookmarkEnd w:id="3"/>
      <w:r>
        <w:t xml:space="preserve">Adapted from the </w:t>
      </w:r>
      <w:hyperlink r:id="rId9">
        <w:r>
          <w:rPr>
            <w:color w:val="1155CC"/>
            <w:u w:val="single"/>
          </w:rPr>
          <w:t>Leadership Guide for Teacher Induction</w:t>
        </w:r>
      </w:hyperlink>
    </w:p>
    <w:p w14:paraId="2C3DCEA5" w14:textId="77777777" w:rsidR="00287CC1" w:rsidRDefault="001A5AB7">
      <w:pPr>
        <w:pStyle w:val="Heading2"/>
        <w:spacing w:after="120"/>
        <w:rPr>
          <w:sz w:val="32"/>
          <w:szCs w:val="32"/>
        </w:rPr>
      </w:pPr>
      <w:bookmarkStart w:id="4" w:name="_heading=h.2ozl307z8z1v" w:colFirst="0" w:colLast="0"/>
      <w:bookmarkEnd w:id="4"/>
      <w:r>
        <w:rPr>
          <w:sz w:val="32"/>
          <w:szCs w:val="32"/>
        </w:rPr>
        <w:t>Four Key Coaching Strategies</w:t>
      </w:r>
    </w:p>
    <w:p w14:paraId="5A2D6BF4" w14:textId="77777777" w:rsidR="00287CC1" w:rsidRDefault="001A5AB7">
      <w:pPr>
        <w:spacing w:before="0" w:after="200" w:line="276" w:lineRule="auto"/>
        <w:rPr>
          <w:color w:val="000000"/>
        </w:rPr>
      </w:pPr>
      <w:bookmarkStart w:id="5" w:name="_heading=h.csessp45fgru" w:colFirst="0" w:colLast="0"/>
      <w:bookmarkEnd w:id="5"/>
      <w:r>
        <w:t>There are four overarching strategies that effective coaches integrate into their ongoing work: (1) supporting reflective practice, (2) giving effective feedback, (3) using a gradual release approach, and (4) using student work to inform practice. It can be helpful for coaches and teachers to review these strategies and discuss how they can be tailored to the work the coach and teacher will be doing together.</w:t>
      </w:r>
    </w:p>
    <w:p w14:paraId="1B934B95" w14:textId="77777777" w:rsidR="00287CC1" w:rsidRDefault="001A5AB7">
      <w:pPr>
        <w:pStyle w:val="Heading3"/>
      </w:pPr>
      <w:bookmarkStart w:id="6" w:name="_heading=h.y7u8n5jmdmbi" w:colFirst="0" w:colLast="0"/>
      <w:bookmarkEnd w:id="6"/>
      <w:r>
        <w:t>1. Supporting Reflective Practice</w:t>
      </w:r>
    </w:p>
    <w:p w14:paraId="7CC741BB" w14:textId="77777777" w:rsidR="00287CC1" w:rsidRDefault="001A5AB7">
      <w:pPr>
        <w:pBdr>
          <w:top w:val="nil"/>
          <w:left w:val="nil"/>
          <w:bottom w:val="nil"/>
          <w:right w:val="nil"/>
          <w:between w:val="nil"/>
        </w:pBdr>
        <w:rPr>
          <w:color w:val="000000"/>
        </w:rPr>
      </w:pPr>
      <w:r>
        <w:rPr>
          <w:color w:val="000000"/>
        </w:rPr>
        <w:t xml:space="preserve">Reflective practice is the ability to incorporate reflection into one’s daily life. It is an important practice because it allows the individual to look back and consider what was just experienced and how it has impacted their thinking. Reflection is one of the </w:t>
      </w:r>
      <w:proofErr w:type="gramStart"/>
      <w:r>
        <w:rPr>
          <w:color w:val="000000"/>
        </w:rPr>
        <w:t>primary</w:t>
      </w:r>
      <w:proofErr w:type="gramEnd"/>
      <w:r>
        <w:rPr>
          <w:color w:val="000000"/>
        </w:rPr>
        <w:t xml:space="preserve"> means through which educators can articulate the changes in understanding that have resulted from professional learning experiences.</w:t>
      </w:r>
    </w:p>
    <w:p w14:paraId="0331A264" w14:textId="77777777" w:rsidR="00287CC1" w:rsidRDefault="001A5AB7">
      <w:pPr>
        <w:pBdr>
          <w:top w:val="nil"/>
          <w:left w:val="nil"/>
          <w:bottom w:val="nil"/>
          <w:right w:val="nil"/>
          <w:between w:val="nil"/>
        </w:pBdr>
        <w:spacing w:before="240"/>
        <w:rPr>
          <w:color w:val="000000"/>
        </w:rPr>
      </w:pPr>
      <w:r>
        <w:rPr>
          <w:color w:val="000000"/>
        </w:rPr>
        <w:t>Reflection</w:t>
      </w:r>
    </w:p>
    <w:p w14:paraId="222F88C2" w14:textId="77777777" w:rsidR="00287CC1" w:rsidRDefault="001A5AB7">
      <w:pPr>
        <w:numPr>
          <w:ilvl w:val="0"/>
          <w:numId w:val="1"/>
        </w:numPr>
        <w:pBdr>
          <w:top w:val="nil"/>
          <w:left w:val="nil"/>
          <w:bottom w:val="nil"/>
          <w:right w:val="nil"/>
          <w:between w:val="nil"/>
        </w:pBdr>
        <w:rPr>
          <w:color w:val="000000"/>
        </w:rPr>
      </w:pPr>
      <w:r>
        <w:rPr>
          <w:color w:val="000000"/>
        </w:rPr>
        <w:t>Helps individuals make personal connections to their experiences</w:t>
      </w:r>
    </w:p>
    <w:p w14:paraId="149E3753" w14:textId="77777777" w:rsidR="00287CC1" w:rsidRDefault="001A5AB7">
      <w:pPr>
        <w:numPr>
          <w:ilvl w:val="0"/>
          <w:numId w:val="1"/>
        </w:numPr>
        <w:pBdr>
          <w:top w:val="nil"/>
          <w:left w:val="nil"/>
          <w:bottom w:val="nil"/>
          <w:right w:val="nil"/>
          <w:between w:val="nil"/>
        </w:pBdr>
        <w:rPr>
          <w:color w:val="000000"/>
        </w:rPr>
      </w:pPr>
      <w:r>
        <w:rPr>
          <w:color w:val="000000"/>
        </w:rPr>
        <w:t xml:space="preserve">Builds understanding of what happened and why </w:t>
      </w:r>
    </w:p>
    <w:p w14:paraId="14BD2227" w14:textId="77777777" w:rsidR="00287CC1" w:rsidRDefault="001A5AB7">
      <w:pPr>
        <w:numPr>
          <w:ilvl w:val="0"/>
          <w:numId w:val="1"/>
        </w:numPr>
        <w:pBdr>
          <w:top w:val="nil"/>
          <w:left w:val="nil"/>
          <w:bottom w:val="nil"/>
          <w:right w:val="nil"/>
          <w:between w:val="nil"/>
        </w:pBdr>
        <w:rPr>
          <w:color w:val="000000"/>
        </w:rPr>
      </w:pPr>
      <w:r>
        <w:rPr>
          <w:color w:val="000000"/>
        </w:rPr>
        <w:t>Deepens and extends the learning that took place</w:t>
      </w:r>
    </w:p>
    <w:p w14:paraId="36D3F215" w14:textId="77777777" w:rsidR="00287CC1" w:rsidRDefault="001A5AB7">
      <w:pPr>
        <w:numPr>
          <w:ilvl w:val="0"/>
          <w:numId w:val="1"/>
        </w:numPr>
        <w:pBdr>
          <w:top w:val="nil"/>
          <w:left w:val="nil"/>
          <w:bottom w:val="nil"/>
          <w:right w:val="nil"/>
          <w:between w:val="nil"/>
        </w:pBdr>
        <w:rPr>
          <w:color w:val="000000"/>
        </w:rPr>
      </w:pPr>
      <w:r>
        <w:rPr>
          <w:color w:val="000000"/>
        </w:rPr>
        <w:t>Provides a tool to self-assess change and growth</w:t>
      </w:r>
    </w:p>
    <w:p w14:paraId="7BFAE724" w14:textId="77777777" w:rsidR="00287CC1" w:rsidRDefault="001A5AB7">
      <w:pPr>
        <w:pBdr>
          <w:top w:val="nil"/>
          <w:left w:val="nil"/>
          <w:bottom w:val="nil"/>
          <w:right w:val="nil"/>
          <w:between w:val="nil"/>
        </w:pBdr>
        <w:spacing w:before="240"/>
        <w:rPr>
          <w:color w:val="000000"/>
        </w:rPr>
      </w:pPr>
      <w:r>
        <w:rPr>
          <w:color w:val="000000"/>
        </w:rPr>
        <w:t>Coaches support teachers in thinking about teaching decisions by explicitly modeling their own reflections. By thinking aloud as they plan their own lessons, work through a challenging task, or interpret information they have collected about their students’ performance, coaches demonstrate the complex thinking that teaching requires and the kinds of reflective questions that experienced educators ask themselves.</w:t>
      </w:r>
    </w:p>
    <w:p w14:paraId="63825646" w14:textId="77777777" w:rsidR="00287CC1" w:rsidRDefault="001A5AB7">
      <w:pPr>
        <w:pBdr>
          <w:top w:val="nil"/>
          <w:left w:val="nil"/>
          <w:bottom w:val="nil"/>
          <w:right w:val="nil"/>
          <w:between w:val="nil"/>
        </w:pBdr>
        <w:spacing w:before="240"/>
        <w:rPr>
          <w:color w:val="000000"/>
        </w:rPr>
      </w:pPr>
      <w:bookmarkStart w:id="7" w:name="_heading=h.o751ofkul8hx" w:colFirst="0" w:colLast="0"/>
      <w:bookmarkEnd w:id="7"/>
      <w:r>
        <w:rPr>
          <w:color w:val="000000"/>
        </w:rPr>
        <w:t xml:space="preserve">Coaches also support reflective practice by asking teachers to look at information—to collect, examine, and interpret data about student learning and classroom participation—to ground their reflection in evidence. Analyzing data from classroom observations allows teachers to </w:t>
      </w:r>
      <w:r>
        <w:rPr>
          <w:color w:val="000000"/>
        </w:rPr>
        <w:lastRenderedPageBreak/>
        <w:t>notice new aspects of their instructional practice and develop new understanding of what is or is not working in their classes.</w:t>
      </w:r>
    </w:p>
    <w:p w14:paraId="1A34A18F" w14:textId="77777777" w:rsidR="00287CC1" w:rsidRDefault="001A5AB7">
      <w:pPr>
        <w:pStyle w:val="Heading3"/>
        <w:spacing w:before="240"/>
      </w:pPr>
      <w:bookmarkStart w:id="8" w:name="_heading=h.onp22pp26l8t" w:colFirst="0" w:colLast="0"/>
      <w:bookmarkEnd w:id="8"/>
      <w:r>
        <w:t>2. Giving Effective Feedback</w:t>
      </w:r>
    </w:p>
    <w:p w14:paraId="7026B487" w14:textId="77777777" w:rsidR="00287CC1" w:rsidRDefault="001A5AB7">
      <w:pPr>
        <w:pBdr>
          <w:top w:val="nil"/>
          <w:left w:val="nil"/>
          <w:bottom w:val="nil"/>
          <w:right w:val="nil"/>
          <w:between w:val="nil"/>
        </w:pBdr>
        <w:rPr>
          <w:color w:val="000000"/>
        </w:rPr>
      </w:pPr>
      <w:r>
        <w:rPr>
          <w:color w:val="000000"/>
        </w:rPr>
        <w:t>Just as students need feedback to understand how to improve their learning, teachers need feedback to help them see their practice from a new angle or consider information they may have overlooked. However, feedback can backfire if it is not offered in a spirit of inquiry. Effective feedback can (a) be heard by the receiver; (b) keep the relationship intact, open, and healthy; and (c) help the receiver improve.</w:t>
      </w:r>
      <w:r>
        <w:rPr>
          <w:color w:val="000000"/>
          <w:vertAlign w:val="superscript"/>
        </w:rPr>
        <w:footnoteReference w:id="1"/>
      </w:r>
    </w:p>
    <w:p w14:paraId="17E8871F" w14:textId="77777777" w:rsidR="00287CC1" w:rsidRDefault="001A5AB7">
      <w:pPr>
        <w:pBdr>
          <w:top w:val="nil"/>
          <w:left w:val="nil"/>
          <w:bottom w:val="nil"/>
          <w:right w:val="nil"/>
          <w:between w:val="nil"/>
        </w:pBdr>
        <w:spacing w:before="240"/>
        <w:rPr>
          <w:color w:val="000000"/>
        </w:rPr>
      </w:pPr>
      <w:r>
        <w:rPr>
          <w:color w:val="000000"/>
        </w:rPr>
        <w:t>Effective feedback has the following characteristics:</w:t>
      </w:r>
    </w:p>
    <w:p w14:paraId="4E946F47" w14:textId="77777777" w:rsidR="00287CC1" w:rsidRDefault="001A5AB7">
      <w:pPr>
        <w:numPr>
          <w:ilvl w:val="0"/>
          <w:numId w:val="1"/>
        </w:numPr>
        <w:pBdr>
          <w:top w:val="nil"/>
          <w:left w:val="nil"/>
          <w:bottom w:val="nil"/>
          <w:right w:val="nil"/>
          <w:between w:val="nil"/>
        </w:pBdr>
        <w:rPr>
          <w:color w:val="000000"/>
        </w:rPr>
      </w:pPr>
      <w:r>
        <w:rPr>
          <w:color w:val="000000"/>
        </w:rPr>
        <w:t>It is evidence-based, specific, concrete, and descriptive (“You called on Will three times,” rather than “You tend to call on men a lot.” Or “Several students were looking at their phones throughout the class,” rather than “Many students were bored.”).</w:t>
      </w:r>
    </w:p>
    <w:p w14:paraId="2F7DC76B" w14:textId="77777777" w:rsidR="00287CC1" w:rsidRDefault="001A5AB7">
      <w:pPr>
        <w:numPr>
          <w:ilvl w:val="0"/>
          <w:numId w:val="1"/>
        </w:numPr>
        <w:pBdr>
          <w:top w:val="nil"/>
          <w:left w:val="nil"/>
          <w:bottom w:val="nil"/>
          <w:right w:val="nil"/>
          <w:between w:val="nil"/>
        </w:pBdr>
        <w:spacing w:before="0"/>
        <w:rPr>
          <w:color w:val="000000"/>
        </w:rPr>
      </w:pPr>
      <w:r>
        <w:rPr>
          <w:color w:val="000000"/>
        </w:rPr>
        <w:t>It is focused on behavior rather than the person.</w:t>
      </w:r>
    </w:p>
    <w:p w14:paraId="0758186F" w14:textId="77777777" w:rsidR="00287CC1" w:rsidRDefault="001A5AB7">
      <w:pPr>
        <w:numPr>
          <w:ilvl w:val="0"/>
          <w:numId w:val="1"/>
        </w:numPr>
        <w:pBdr>
          <w:top w:val="nil"/>
          <w:left w:val="nil"/>
          <w:bottom w:val="nil"/>
          <w:right w:val="nil"/>
          <w:between w:val="nil"/>
        </w:pBdr>
        <w:spacing w:before="0"/>
        <w:rPr>
          <w:color w:val="000000"/>
        </w:rPr>
      </w:pPr>
      <w:r>
        <w:rPr>
          <w:color w:val="000000"/>
        </w:rPr>
        <w:t>It takes into account the needs of the receiver of the feedback. It involves the amount of information the receiver can use rather than the amount the observer would like to give. It is differentiated to meet individual teachers’ needs.</w:t>
      </w:r>
    </w:p>
    <w:p w14:paraId="59AE1584" w14:textId="77777777" w:rsidR="00287CC1" w:rsidRDefault="001A5AB7">
      <w:pPr>
        <w:numPr>
          <w:ilvl w:val="0"/>
          <w:numId w:val="1"/>
        </w:numPr>
        <w:pBdr>
          <w:top w:val="nil"/>
          <w:left w:val="nil"/>
          <w:bottom w:val="nil"/>
          <w:right w:val="nil"/>
          <w:between w:val="nil"/>
        </w:pBdr>
        <w:spacing w:before="0"/>
        <w:rPr>
          <w:color w:val="000000"/>
        </w:rPr>
      </w:pPr>
      <w:r>
        <w:rPr>
          <w:color w:val="000000"/>
        </w:rPr>
        <w:t>It is solicited rather than imposed. Feedback is most useful when the receiver has formulated a question to which the observer can respond. It is selective. It focuses on areas the teacher has prioritized and is paced appropriately.</w:t>
      </w:r>
    </w:p>
    <w:p w14:paraId="067C55D4" w14:textId="77777777" w:rsidR="00287CC1" w:rsidRDefault="001A5AB7">
      <w:pPr>
        <w:numPr>
          <w:ilvl w:val="0"/>
          <w:numId w:val="1"/>
        </w:numPr>
        <w:pBdr>
          <w:top w:val="nil"/>
          <w:left w:val="nil"/>
          <w:bottom w:val="nil"/>
          <w:right w:val="nil"/>
          <w:between w:val="nil"/>
        </w:pBdr>
        <w:spacing w:before="0"/>
        <w:rPr>
          <w:color w:val="000000"/>
        </w:rPr>
      </w:pPr>
      <w:r>
        <w:rPr>
          <w:color w:val="000000"/>
        </w:rPr>
        <w:t>It involves sharing information rather than giving (unsolicited) advice. Teachers improve most when their learning is self-directed and is based on information about the results of their own instructional efforts.</w:t>
      </w:r>
    </w:p>
    <w:p w14:paraId="6AF55691" w14:textId="77777777" w:rsidR="00287CC1" w:rsidRDefault="001A5AB7">
      <w:pPr>
        <w:numPr>
          <w:ilvl w:val="0"/>
          <w:numId w:val="1"/>
        </w:numPr>
        <w:pBdr>
          <w:top w:val="nil"/>
          <w:left w:val="nil"/>
          <w:bottom w:val="nil"/>
          <w:right w:val="nil"/>
          <w:between w:val="nil"/>
        </w:pBdr>
        <w:spacing w:before="0"/>
        <w:rPr>
          <w:color w:val="000000"/>
        </w:rPr>
      </w:pPr>
      <w:r>
        <w:rPr>
          <w:color w:val="000000"/>
        </w:rPr>
        <w:t>It is based on data that are shared in a way that builds trust and encourages reflection and new questions.</w:t>
      </w:r>
    </w:p>
    <w:p w14:paraId="6106ED7D" w14:textId="77777777" w:rsidR="00287CC1" w:rsidRDefault="001A5AB7">
      <w:pPr>
        <w:numPr>
          <w:ilvl w:val="0"/>
          <w:numId w:val="1"/>
        </w:numPr>
        <w:pBdr>
          <w:top w:val="nil"/>
          <w:left w:val="nil"/>
          <w:bottom w:val="nil"/>
          <w:right w:val="nil"/>
          <w:between w:val="nil"/>
        </w:pBdr>
        <w:spacing w:before="0"/>
      </w:pPr>
      <w:r>
        <w:rPr>
          <w:color w:val="000000"/>
        </w:rPr>
        <w:t xml:space="preserve">It is timely and </w:t>
      </w:r>
      <w:r>
        <w:t>well-timed</w:t>
      </w:r>
      <w:r>
        <w:rPr>
          <w:color w:val="000000"/>
        </w:rPr>
        <w:t>. In general, immediate feedback is most useful (depending on the receiver’s readiness to hear it and the support available from others).</w:t>
      </w:r>
    </w:p>
    <w:p w14:paraId="61D1B524" w14:textId="77777777" w:rsidR="00287CC1" w:rsidRDefault="001A5AB7">
      <w:pPr>
        <w:numPr>
          <w:ilvl w:val="0"/>
          <w:numId w:val="1"/>
        </w:numPr>
        <w:pBdr>
          <w:top w:val="nil"/>
          <w:left w:val="nil"/>
          <w:bottom w:val="nil"/>
          <w:right w:val="nil"/>
          <w:between w:val="nil"/>
        </w:pBdr>
        <w:spacing w:before="0"/>
        <w:rPr>
          <w:color w:val="000000"/>
        </w:rPr>
      </w:pPr>
      <w:r>
        <w:rPr>
          <w:color w:val="000000"/>
        </w:rPr>
        <w:t>It concerns what is said or done, or how it is said or done, not why. Addressing “why” moves the discussion from the observable to the inferred and involves assumptions regarding motive or intent.</w:t>
      </w:r>
    </w:p>
    <w:p w14:paraId="451F1306" w14:textId="77777777" w:rsidR="00287CC1" w:rsidRDefault="001A5AB7">
      <w:pPr>
        <w:numPr>
          <w:ilvl w:val="0"/>
          <w:numId w:val="1"/>
        </w:numPr>
        <w:pBdr>
          <w:top w:val="nil"/>
          <w:left w:val="nil"/>
          <w:bottom w:val="nil"/>
          <w:right w:val="nil"/>
          <w:between w:val="nil"/>
        </w:pBdr>
        <w:spacing w:before="0"/>
        <w:rPr>
          <w:color w:val="000000"/>
        </w:rPr>
      </w:pPr>
      <w:r>
        <w:rPr>
          <w:color w:val="000000"/>
        </w:rPr>
        <w:t>It includes high-level questions.</w:t>
      </w:r>
    </w:p>
    <w:p w14:paraId="5429AB10" w14:textId="77777777" w:rsidR="00287CC1" w:rsidRDefault="001A5AB7">
      <w:pPr>
        <w:numPr>
          <w:ilvl w:val="0"/>
          <w:numId w:val="1"/>
        </w:numPr>
        <w:pBdr>
          <w:top w:val="nil"/>
          <w:left w:val="nil"/>
          <w:bottom w:val="nil"/>
          <w:right w:val="nil"/>
          <w:between w:val="nil"/>
        </w:pBdr>
        <w:spacing w:before="0"/>
        <w:rPr>
          <w:color w:val="000000"/>
        </w:rPr>
      </w:pPr>
      <w:r>
        <w:rPr>
          <w:color w:val="000000"/>
        </w:rPr>
        <w:t>It is clear communication. One way of assessing this is to have the receiver rephrase the feedback received to see whether it corresponds to what the sender has in mind. It also involves active listening by the coach. This signals to the teacher that they are being heard and understood.</w:t>
      </w:r>
    </w:p>
    <w:p w14:paraId="5D947581" w14:textId="77777777" w:rsidR="00287CC1" w:rsidRDefault="001A5AB7">
      <w:pPr>
        <w:numPr>
          <w:ilvl w:val="0"/>
          <w:numId w:val="1"/>
        </w:numPr>
        <w:pBdr>
          <w:top w:val="nil"/>
          <w:left w:val="nil"/>
          <w:bottom w:val="nil"/>
          <w:right w:val="nil"/>
          <w:between w:val="nil"/>
        </w:pBdr>
        <w:rPr>
          <w:color w:val="000000"/>
        </w:rPr>
      </w:pPr>
      <w:r>
        <w:rPr>
          <w:color w:val="000000"/>
        </w:rPr>
        <w:t>It involves balanced communication (50/50) between the coach and teacher. One way to encourage balanced communication is for the coach to ask reflective and follow-up questions.</w:t>
      </w:r>
    </w:p>
    <w:p w14:paraId="236CB6E6" w14:textId="77777777" w:rsidR="00287CC1" w:rsidRDefault="001A5AB7" w:rsidP="00DF7C91">
      <w:pPr>
        <w:numPr>
          <w:ilvl w:val="0"/>
          <w:numId w:val="1"/>
        </w:numPr>
        <w:pBdr>
          <w:top w:val="nil"/>
          <w:left w:val="nil"/>
          <w:bottom w:val="nil"/>
          <w:right w:val="nil"/>
          <w:between w:val="nil"/>
        </w:pBdr>
        <w:spacing w:after="200"/>
        <w:rPr>
          <w:color w:val="000000"/>
        </w:rPr>
      </w:pPr>
      <w:r>
        <w:rPr>
          <w:color w:val="000000"/>
        </w:rPr>
        <w:lastRenderedPageBreak/>
        <w:t>It is actionable; it can be used. (“Good job!” or “That’s not quite it,” are not effective feedback comments in isolation because it is unclear what is satisfactory or unsatisfactory about the practice.)</w:t>
      </w:r>
    </w:p>
    <w:p w14:paraId="1CB151A6" w14:textId="77777777" w:rsidR="00287CC1" w:rsidRDefault="001A5AB7">
      <w:pPr>
        <w:numPr>
          <w:ilvl w:val="0"/>
          <w:numId w:val="1"/>
        </w:numPr>
        <w:pBdr>
          <w:top w:val="nil"/>
          <w:left w:val="nil"/>
          <w:bottom w:val="nil"/>
          <w:right w:val="nil"/>
          <w:between w:val="nil"/>
        </w:pBdr>
        <w:rPr>
          <w:color w:val="000000"/>
        </w:rPr>
      </w:pPr>
      <w:r>
        <w:rPr>
          <w:color w:val="000000"/>
        </w:rPr>
        <w:t>It is linked to planning for professional growth and ends with action strategies and opportunities for practice.</w:t>
      </w:r>
      <w:r>
        <w:rPr>
          <w:color w:val="000000"/>
          <w:vertAlign w:val="superscript"/>
        </w:rPr>
        <w:footnoteReference w:id="2"/>
      </w:r>
    </w:p>
    <w:p w14:paraId="59961AB4" w14:textId="77777777" w:rsidR="00287CC1" w:rsidRDefault="001A5AB7">
      <w:pPr>
        <w:pBdr>
          <w:top w:val="nil"/>
          <w:left w:val="nil"/>
          <w:bottom w:val="nil"/>
          <w:right w:val="nil"/>
          <w:between w:val="nil"/>
        </w:pBdr>
        <w:spacing w:before="180"/>
        <w:rPr>
          <w:color w:val="000000"/>
        </w:rPr>
      </w:pPr>
      <w:bookmarkStart w:id="9" w:name="_heading=h.tpwvcwzifzc6" w:colFirst="0" w:colLast="0"/>
      <w:bookmarkEnd w:id="9"/>
      <w:r>
        <w:rPr>
          <w:color w:val="000000"/>
        </w:rPr>
        <w:t>Talking with teachers explicitly about how they like to receive feedback has the complementary effect of prompting them to think about the way to offer feedback to their students.</w:t>
      </w:r>
    </w:p>
    <w:p w14:paraId="6E8B5D94" w14:textId="77777777" w:rsidR="00287CC1" w:rsidRDefault="001A5AB7">
      <w:pPr>
        <w:pStyle w:val="Heading3"/>
        <w:spacing w:before="240"/>
      </w:pPr>
      <w:bookmarkStart w:id="10" w:name="_heading=h.boc3kyd58rn" w:colFirst="0" w:colLast="0"/>
      <w:bookmarkEnd w:id="10"/>
      <w:r>
        <w:t>3. Using a Gradual Release Approach</w:t>
      </w:r>
    </w:p>
    <w:p w14:paraId="7391F012" w14:textId="77777777" w:rsidR="00287CC1" w:rsidRDefault="001A5AB7">
      <w:pPr>
        <w:pBdr>
          <w:top w:val="nil"/>
          <w:left w:val="nil"/>
          <w:bottom w:val="nil"/>
          <w:right w:val="nil"/>
          <w:between w:val="nil"/>
        </w:pBdr>
        <w:rPr>
          <w:color w:val="000000"/>
        </w:rPr>
      </w:pPr>
      <w:r>
        <w:rPr>
          <w:color w:val="000000"/>
        </w:rPr>
        <w:t>A promising approach that has migrated from K–12 classrooms to adult classrooms is the gradual release model, also known as “scaffolded instruction.” Gradual release comprises three clearly laid out steps, during which the coach gradually reduces the extent of guidance and support until the teacher is able to perform well on his or her own. A popular short hand for this approach is “I do, WE do, YOU do.”</w:t>
      </w:r>
    </w:p>
    <w:p w14:paraId="40B3E5BD" w14:textId="77777777" w:rsidR="00287CC1" w:rsidRDefault="001A5AB7">
      <w:pPr>
        <w:pBdr>
          <w:top w:val="nil"/>
          <w:left w:val="nil"/>
          <w:bottom w:val="nil"/>
          <w:right w:val="nil"/>
          <w:between w:val="nil"/>
        </w:pBdr>
        <w:spacing w:before="240"/>
        <w:rPr>
          <w:color w:val="000000"/>
        </w:rPr>
      </w:pPr>
      <w:r>
        <w:rPr>
          <w:color w:val="000000"/>
        </w:rPr>
        <w:t>In this approach, the first step is for the coach to model a teaching strategy, explaining why the strategy is effective and how to implement it. It is important that the coach not move forward until the teacher understands the rationale for using the particular strategy. One risk of rushing this step is that the teacher might mimic a teaching technique without fully understanding its purpose or when to use it.</w:t>
      </w:r>
    </w:p>
    <w:p w14:paraId="50815F99" w14:textId="77777777" w:rsidR="00287CC1" w:rsidRDefault="001A5AB7">
      <w:pPr>
        <w:pBdr>
          <w:top w:val="nil"/>
          <w:left w:val="nil"/>
          <w:bottom w:val="nil"/>
          <w:right w:val="nil"/>
          <w:between w:val="nil"/>
        </w:pBdr>
        <w:spacing w:before="240"/>
        <w:rPr>
          <w:color w:val="000000"/>
        </w:rPr>
      </w:pPr>
      <w:r>
        <w:rPr>
          <w:color w:val="000000"/>
        </w:rPr>
        <w:t>Next, the coach provides opportunities for guided practice, during which the teacher can try out the new strategy along with the coach, ask questions, and build comfort. Activities during the “we do” stage are planned and implemented together. The teacher is encouraged to take an increasing amount of responsibility, accessing coach support to think through possibilities, problem solve, rehearse, or co-teach a lesson. At this stage, the coach needs to communicate clear feedback and a sense of confidence that can build the teacher’s self-efficacy and motivation to try new practices.</w:t>
      </w:r>
    </w:p>
    <w:p w14:paraId="0E3D458E" w14:textId="77777777" w:rsidR="00287CC1" w:rsidRDefault="001A5AB7">
      <w:pPr>
        <w:pBdr>
          <w:top w:val="nil"/>
          <w:left w:val="nil"/>
          <w:bottom w:val="nil"/>
          <w:right w:val="nil"/>
          <w:between w:val="nil"/>
        </w:pBdr>
        <w:spacing w:before="240"/>
        <w:rPr>
          <w:color w:val="000000"/>
        </w:rPr>
      </w:pPr>
      <w:bookmarkStart w:id="11" w:name="_heading=h.edrnaoi5d6m3" w:colFirst="0" w:colLast="0"/>
      <w:bookmarkEnd w:id="11"/>
      <w:r>
        <w:rPr>
          <w:color w:val="000000"/>
        </w:rPr>
        <w:t xml:space="preserve">Finally, the coach provides opportunities for application, with monitoring but little direct support. If there are teachers who are working together, they may practice this application together first, but </w:t>
      </w:r>
      <w:proofErr w:type="gramStart"/>
      <w:r>
        <w:rPr>
          <w:color w:val="000000"/>
        </w:rPr>
        <w:t>ultimately</w:t>
      </w:r>
      <w:proofErr w:type="gramEnd"/>
      <w:r>
        <w:rPr>
          <w:color w:val="000000"/>
        </w:rPr>
        <w:t xml:space="preserve"> they should aim to perform independently.</w:t>
      </w:r>
    </w:p>
    <w:p w14:paraId="5FA20B50" w14:textId="77777777" w:rsidR="00287CC1" w:rsidRDefault="001A5AB7">
      <w:pPr>
        <w:pStyle w:val="Heading3"/>
        <w:spacing w:before="240"/>
      </w:pPr>
      <w:bookmarkStart w:id="12" w:name="_heading=h.wloxckbwpbg3" w:colFirst="0" w:colLast="0"/>
      <w:bookmarkEnd w:id="12"/>
      <w:r>
        <w:t xml:space="preserve">4. Using Student Work to Inform Practice </w:t>
      </w:r>
    </w:p>
    <w:p w14:paraId="6698D4C7" w14:textId="77777777" w:rsidR="00287CC1" w:rsidRDefault="001A5AB7">
      <w:pPr>
        <w:pBdr>
          <w:top w:val="nil"/>
          <w:left w:val="nil"/>
          <w:bottom w:val="nil"/>
          <w:right w:val="nil"/>
          <w:between w:val="nil"/>
        </w:pBdr>
        <w:rPr>
          <w:color w:val="000000"/>
        </w:rPr>
      </w:pPr>
      <w:r>
        <w:rPr>
          <w:color w:val="000000"/>
        </w:rPr>
        <w:t xml:space="preserve">“Nothing more accurately confirms what happens in the classroom than instructor assignments and the student work produced in response. Together they verify what students are being taught and what they have learned, remembered, and incorporated into their knowledge and </w:t>
      </w:r>
      <w:r>
        <w:rPr>
          <w:color w:val="000000"/>
        </w:rPr>
        <w:lastRenderedPageBreak/>
        <w:t>skills”.</w:t>
      </w:r>
      <w:r>
        <w:rPr>
          <w:color w:val="000000"/>
          <w:vertAlign w:val="superscript"/>
        </w:rPr>
        <w:footnoteReference w:id="3"/>
      </w:r>
      <w:r>
        <w:rPr>
          <w:color w:val="000000"/>
        </w:rPr>
        <w:t xml:space="preserve"> One goal of professional learning is to “foster reflective practitioners who understand how to assess the needs of their students, tailor instruction based on those needs, and use data from the classroom to regularly, and rigorously, inform their own instructional practice.”</w:t>
      </w:r>
      <w:r>
        <w:rPr>
          <w:color w:val="000000"/>
          <w:vertAlign w:val="superscript"/>
        </w:rPr>
        <w:footnoteReference w:id="4"/>
      </w:r>
    </w:p>
    <w:p w14:paraId="1027B288" w14:textId="77777777" w:rsidR="00287CC1" w:rsidRDefault="001A5AB7">
      <w:pPr>
        <w:pBdr>
          <w:top w:val="nil"/>
          <w:left w:val="nil"/>
          <w:bottom w:val="nil"/>
          <w:right w:val="nil"/>
          <w:between w:val="nil"/>
        </w:pBdr>
        <w:spacing w:before="240"/>
        <w:rPr>
          <w:color w:val="000000"/>
        </w:rPr>
      </w:pPr>
      <w:r>
        <w:rPr>
          <w:color w:val="000000"/>
        </w:rPr>
        <w:t>Student learning can be assessed both formally and informally, and both types of assessment are essential to understanding areas of strength and need for individual learners and for groups of learners. The process of collecting, analyzing, and reviewing student work and assessment results is ongoing. It begins when students enter the program and continues throughout their participation. As students stop out and then reenter the program, the ongoing collection and review of their work and assessment results resumes.</w:t>
      </w:r>
    </w:p>
    <w:p w14:paraId="5DF8D5E2" w14:textId="77777777" w:rsidR="00287CC1" w:rsidRDefault="001A5AB7">
      <w:pPr>
        <w:pBdr>
          <w:top w:val="nil"/>
          <w:left w:val="nil"/>
          <w:bottom w:val="nil"/>
          <w:right w:val="nil"/>
          <w:between w:val="nil"/>
        </w:pBdr>
        <w:spacing w:before="240"/>
        <w:rPr>
          <w:color w:val="000000"/>
        </w:rPr>
      </w:pPr>
      <w:r>
        <w:rPr>
          <w:color w:val="000000"/>
        </w:rPr>
        <w:t>Reviewing student work—essay drafts, math homework assignments, notations in graphic organizers, and quizzes—is not only useful for determining whether a teacher’s students are learning but also for highlighting what learning that teacher might need to pursue. The primary measure of teacher effectiveness, and changes in teacher effectiveness over time, is student learning.</w:t>
      </w:r>
    </w:p>
    <w:p w14:paraId="2E322E12" w14:textId="77777777" w:rsidR="00287CC1" w:rsidRDefault="001A5AB7">
      <w:pPr>
        <w:pBdr>
          <w:top w:val="nil"/>
          <w:left w:val="nil"/>
          <w:bottom w:val="nil"/>
          <w:right w:val="nil"/>
          <w:between w:val="nil"/>
        </w:pBdr>
        <w:spacing w:before="240"/>
        <w:rPr>
          <w:color w:val="000000"/>
        </w:rPr>
      </w:pPr>
      <w:r>
        <w:rPr>
          <w:color w:val="000000"/>
        </w:rPr>
        <w:t xml:space="preserve">As stated in </w:t>
      </w:r>
      <w:r>
        <w:rPr>
          <w:i/>
          <w:iCs/>
          <w:color w:val="000000"/>
        </w:rPr>
        <w:t>The Framework for Teaching Evaluation Instrument</w:t>
      </w:r>
      <w:r>
        <w:rPr>
          <w:color w:val="000000"/>
        </w:rPr>
        <w:t xml:space="preserve">, “Learning outcomes may be of a number of different types: factual and procedural knowledge; conceptual understanding, thinking, and reasoning skills; and collaborative and communication strategies. In addition, some learning outcomes refer to dispositions: it’s important not only </w:t>
      </w:r>
      <w:proofErr w:type="gramStart"/>
      <w:r>
        <w:rPr>
          <w:color w:val="000000"/>
        </w:rPr>
        <w:t>that students</w:t>
      </w:r>
      <w:proofErr w:type="gramEnd"/>
      <w:r>
        <w:rPr>
          <w:color w:val="000000"/>
        </w:rPr>
        <w:t xml:space="preserve"> learn to read but also, educators hope, that they will </w:t>
      </w:r>
      <w:r>
        <w:rPr>
          <w:i/>
          <w:iCs/>
          <w:color w:val="000000"/>
        </w:rPr>
        <w:t xml:space="preserve">like </w:t>
      </w:r>
      <w:r>
        <w:rPr>
          <w:color w:val="000000"/>
        </w:rPr>
        <w:t>to read”.</w:t>
      </w:r>
      <w:r>
        <w:rPr>
          <w:color w:val="000000"/>
          <w:vertAlign w:val="superscript"/>
        </w:rPr>
        <w:footnoteReference w:id="5"/>
      </w:r>
      <w:r>
        <w:rPr>
          <w:color w:val="000000"/>
        </w:rPr>
        <w:t xml:space="preserve"> Teachers need to collect evidence of this full range of learning, not just evidence of factual and procedural knowledge.</w:t>
      </w:r>
    </w:p>
    <w:sectPr w:rsidR="00287CC1">
      <w:headerReference w:type="default" r:id="rId10"/>
      <w:footerReference w:type="default" r:id="rId11"/>
      <w:footerReference w:type="first" r:id="rId12"/>
      <w:pgSz w:w="12240" w:h="15840"/>
      <w:pgMar w:top="1152" w:right="1440" w:bottom="1440" w:left="1440" w:header="3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BFF4F" w14:textId="77777777" w:rsidR="00D15C79" w:rsidRDefault="00D15C79">
      <w:pPr>
        <w:spacing w:before="0"/>
      </w:pPr>
      <w:r>
        <w:separator/>
      </w:r>
    </w:p>
  </w:endnote>
  <w:endnote w:type="continuationSeparator" w:id="0">
    <w:p w14:paraId="48494D9A" w14:textId="77777777" w:rsidR="00D15C79" w:rsidRDefault="00D15C7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3ED6CF-AC65-4F75-BB7B-B1CADDC1DD1C}"/>
    <w:embedBold r:id="rId2" w:fontKey="{FE74141C-BCF1-4B5D-97E3-666BB8B8AF25}"/>
    <w:embedItalic r:id="rId3" w:fontKey="{FA215A65-6412-44D5-9E25-EB8EC5A2043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4" w:fontKey="{ABB5D354-EFB1-4EF2-A5E7-C8A3C318253C}"/>
  </w:font>
  <w:font w:name="Cambria">
    <w:panose1 w:val="02040503050406030204"/>
    <w:charset w:val="00"/>
    <w:family w:val="roman"/>
    <w:pitch w:val="variable"/>
    <w:sig w:usb0="E00006FF" w:usb1="420024FF" w:usb2="02000000" w:usb3="00000000" w:csb0="0000019F" w:csb1="00000000"/>
    <w:embedRegular r:id="rId5" w:fontKey="{60CED515-04A5-449F-AF30-EA7B09946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7147A" w14:textId="77777777" w:rsidR="00287CC1" w:rsidRPr="00F05A91" w:rsidRDefault="001A5AB7">
    <w:r w:rsidRPr="00F05A91">
      <w:t>Educator Growth and Evaluation Model Four Key Coaching Strategies</w:t>
    </w:r>
  </w:p>
  <w:p w14:paraId="3A696D6E" w14:textId="77777777" w:rsidR="00287CC1" w:rsidRPr="00F05A91" w:rsidRDefault="001A5AB7">
    <w:pPr>
      <w:tabs>
        <w:tab w:val="right" w:pos="9360"/>
      </w:tabs>
      <w:spacing w:before="0" w:line="276" w:lineRule="auto"/>
      <w:rPr>
        <w:sz w:val="28"/>
        <w:szCs w:val="28"/>
      </w:rPr>
    </w:pPr>
    <w:r w:rsidRPr="00F05A91">
      <w:t>Updated 4/6/2026</w:t>
    </w:r>
    <w:r w:rsidRPr="00F05A91">
      <w:tab/>
    </w:r>
    <w:r w:rsidRPr="00F05A91">
      <w:fldChar w:fldCharType="begin"/>
    </w:r>
    <w:r w:rsidRPr="00F05A91">
      <w:instrText>PAGE</w:instrText>
    </w:r>
    <w:r w:rsidRPr="00F05A91">
      <w:fldChar w:fldCharType="separate"/>
    </w:r>
    <w:r w:rsidR="00DF7C91" w:rsidRPr="00F05A91">
      <w:rPr>
        <w:noProof/>
      </w:rPr>
      <w:t>2</w:t>
    </w:r>
    <w:r w:rsidRPr="00F05A9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A638" w14:textId="13E78B06" w:rsidR="00287CC1" w:rsidRPr="00F05A91" w:rsidRDefault="001A5AB7" w:rsidP="00F05A91">
    <w:pPr>
      <w:pBdr>
        <w:top w:val="nil"/>
        <w:left w:val="nil"/>
        <w:bottom w:val="nil"/>
        <w:right w:val="nil"/>
        <w:between w:val="nil"/>
      </w:pBdr>
      <w:tabs>
        <w:tab w:val="right" w:pos="9360"/>
      </w:tabs>
      <w:spacing w:before="200"/>
      <w:rPr>
        <w:rFonts w:ascii="Times New Roman" w:eastAsia="Times New Roman" w:hAnsi="Times New Roman" w:cs="Times New Roman"/>
        <w:color w:val="000000"/>
        <w:sz w:val="28"/>
        <w:szCs w:val="28"/>
      </w:rPr>
    </w:pPr>
    <w:r w:rsidRPr="00F05A91">
      <w:rPr>
        <w:i/>
        <w:iCs/>
        <w:color w:val="000000"/>
      </w:rPr>
      <w:t>This resource was developed by the SABES Program Support PD Team, a project of World Education, a JSI Initiative. Funding for SABES is provided by the MA Department of Elementary and Secondary Education.</w:t>
    </w:r>
    <w:r w:rsidR="00F05A91">
      <w:rPr>
        <w:i/>
        <w:iCs/>
        <w:color w:val="000000"/>
      </w:rPr>
      <w:tab/>
    </w:r>
    <w:r w:rsidRPr="00F05A91">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3EB1F" w14:textId="77777777" w:rsidR="00D15C79" w:rsidRDefault="00D15C79">
      <w:pPr>
        <w:spacing w:before="0"/>
      </w:pPr>
      <w:r>
        <w:separator/>
      </w:r>
    </w:p>
  </w:footnote>
  <w:footnote w:type="continuationSeparator" w:id="0">
    <w:p w14:paraId="16564A7F" w14:textId="77777777" w:rsidR="00D15C79" w:rsidRDefault="00D15C79">
      <w:pPr>
        <w:spacing w:before="0"/>
      </w:pPr>
      <w:r>
        <w:continuationSeparator/>
      </w:r>
    </w:p>
  </w:footnote>
  <w:footnote w:id="1">
    <w:p w14:paraId="6BE1C1B6" w14:textId="77777777" w:rsidR="00287CC1" w:rsidRDefault="001A5AB7" w:rsidP="00DF7C91">
      <w:pP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Holden Leadership Center. (n.d.) </w:t>
      </w:r>
      <w:hyperlink r:id="rId1">
        <w:r>
          <w:rPr>
            <w:rFonts w:ascii="Times New Roman" w:eastAsia="Times New Roman" w:hAnsi="Times New Roman" w:cs="Times New Roman"/>
            <w:i/>
            <w:iCs/>
            <w:color w:val="000000"/>
          </w:rPr>
          <w:t>Giving effective feedback.</w:t>
        </w:r>
      </w:hyperlink>
      <w:hyperlink r:id="rId2">
        <w:r>
          <w:rPr>
            <w:rFonts w:ascii="Times New Roman" w:eastAsia="Times New Roman" w:hAnsi="Times New Roman" w:cs="Times New Roman"/>
            <w:color w:val="000000"/>
          </w:rPr>
          <w:t xml:space="preserve"> Eugene, OR: University of Oregon. Retrieved from </w:t>
        </w:r>
      </w:hyperlink>
      <w:hyperlink r:id="rId3">
        <w:r>
          <w:rPr>
            <w:rFonts w:ascii="Times New Roman" w:eastAsia="Times New Roman" w:hAnsi="Times New Roman" w:cs="Times New Roman"/>
            <w:color w:val="0000FF"/>
            <w:u w:val="single"/>
          </w:rPr>
          <w:t>http://leadership.uoregon.edu/resources/exercises_tips/skills/giving_effective_feedback</w:t>
        </w:r>
      </w:hyperlink>
    </w:p>
  </w:footnote>
  <w:footnote w:id="2">
    <w:p w14:paraId="4ED149FE" w14:textId="77777777" w:rsidR="00287CC1" w:rsidRDefault="001A5AB7" w:rsidP="00DF7C91">
      <w:r>
        <w:rPr>
          <w:vertAlign w:val="superscript"/>
        </w:rPr>
        <w:footnoteRef/>
      </w:r>
      <w:r>
        <w:t xml:space="preserve"> Center on Great Teachers and Leaders. (2014). </w:t>
      </w:r>
      <w:r>
        <w:rPr>
          <w:i/>
          <w:iCs/>
        </w:rPr>
        <w:t xml:space="preserve">Preparing educators for evaluation and feedback: Planning for professional learning. </w:t>
      </w:r>
      <w:r>
        <w:t>Washington, DC: American Institutes for Research.</w:t>
      </w:r>
    </w:p>
  </w:footnote>
  <w:footnote w:id="3">
    <w:p w14:paraId="4E107E3F" w14:textId="77777777" w:rsidR="00287CC1" w:rsidRDefault="001A5AB7" w:rsidP="00DF7C91">
      <w:pP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U.S. Department of Education. (2009). </w:t>
      </w:r>
      <w:hyperlink r:id="rId4">
        <w:r>
          <w:rPr>
            <w:rFonts w:ascii="Times New Roman" w:eastAsia="Times New Roman" w:hAnsi="Times New Roman" w:cs="Times New Roman"/>
            <w:i/>
            <w:iCs/>
            <w:color w:val="000000"/>
          </w:rPr>
          <w:t>Standards-in-action guide: Innovation for standards-based education.</w:t>
        </w:r>
      </w:hyperlink>
      <w:hyperlink r:id="rId5">
        <w:r>
          <w:rPr>
            <w:rFonts w:ascii="Times New Roman" w:eastAsia="Times New Roman" w:hAnsi="Times New Roman" w:cs="Times New Roman"/>
            <w:color w:val="000000"/>
          </w:rPr>
          <w:t xml:space="preserve"> Washington, DC: Office of Vocational and Adult Education. Retrieved from </w:t>
        </w:r>
      </w:hyperlink>
      <w:hyperlink r:id="rId6">
        <w:r>
          <w:rPr>
            <w:rFonts w:ascii="Times New Roman" w:eastAsia="Times New Roman" w:hAnsi="Times New Roman" w:cs="Times New Roman"/>
            <w:color w:val="0000FF"/>
            <w:u w:val="single"/>
          </w:rPr>
          <w:t>http://www.adultedcontentstandards.ed.gov/ReferenceFiles/Guide/Standards_In_Action.pdf</w:t>
        </w:r>
      </w:hyperlink>
    </w:p>
  </w:footnote>
  <w:footnote w:id="4">
    <w:p w14:paraId="69C82315" w14:textId="77777777" w:rsidR="00287CC1" w:rsidRDefault="001A5AB7" w:rsidP="00DF7C91">
      <w:pP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Moir, E., Barlin, D., Gless, J., &amp; Miles, J. (2009). </w:t>
      </w:r>
      <w:r>
        <w:rPr>
          <w:rFonts w:ascii="Times New Roman" w:eastAsia="Times New Roman" w:hAnsi="Times New Roman" w:cs="Times New Roman"/>
          <w:i/>
          <w:iCs/>
          <w:color w:val="000000"/>
        </w:rPr>
        <w:t xml:space="preserve">New teacher mentoring: Hopes and promise for improving teacher effectiveness. </w:t>
      </w:r>
      <w:r>
        <w:rPr>
          <w:rFonts w:ascii="Times New Roman" w:eastAsia="Times New Roman" w:hAnsi="Times New Roman" w:cs="Times New Roman"/>
          <w:color w:val="000000"/>
        </w:rPr>
        <w:t>Cambridge, MA: Harvard Education Press.</w:t>
      </w:r>
    </w:p>
  </w:footnote>
  <w:footnote w:id="5">
    <w:p w14:paraId="3DF6C18F" w14:textId="77777777" w:rsidR="00287CC1" w:rsidRDefault="001A5AB7" w:rsidP="00DF7C91">
      <w:pP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Danielson, C. (2013). </w:t>
      </w:r>
      <w:hyperlink r:id="rId7">
        <w:r>
          <w:rPr>
            <w:rFonts w:ascii="Times New Roman" w:eastAsia="Times New Roman" w:hAnsi="Times New Roman" w:cs="Times New Roman"/>
            <w:i/>
            <w:iCs/>
            <w:color w:val="000000"/>
          </w:rPr>
          <w:t>The framework for teaching evaluation instrument.</w:t>
        </w:r>
      </w:hyperlink>
      <w:hyperlink r:id="rId8">
        <w:r>
          <w:rPr>
            <w:rFonts w:ascii="Times New Roman" w:eastAsia="Times New Roman" w:hAnsi="Times New Roman" w:cs="Times New Roman"/>
            <w:color w:val="000000"/>
          </w:rPr>
          <w:t xml:space="preserve"> Princeton, NJ: The Danielson Group. Retrieved from</w:t>
        </w:r>
      </w:hyperlink>
      <w:hyperlink r:id="rId9">
        <w:r>
          <w:rPr>
            <w:rFonts w:ascii="Times New Roman" w:eastAsia="Times New Roman" w:hAnsi="Times New Roman" w:cs="Times New Roman"/>
            <w:color w:val="0000FF"/>
            <w:u w:val="single"/>
          </w:rPr>
          <w:t xml:space="preserve"> http://www.danielsongroup.org/userfiles/files/downloads/2013EvaluationInstrument.pdf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502E" w14:textId="77777777" w:rsidR="00287CC1" w:rsidRDefault="00287CC1">
    <w:pPr>
      <w:pBdr>
        <w:top w:val="nil"/>
        <w:left w:val="nil"/>
        <w:bottom w:val="nil"/>
        <w:right w:val="nil"/>
        <w:between w:val="nil"/>
      </w:pBdr>
      <w:spacing w:before="0"/>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880BC1"/>
    <w:multiLevelType w:val="multilevel"/>
    <w:tmpl w:val="48788F58"/>
    <w:lvl w:ilvl="0">
      <w:start w:val="1"/>
      <w:numFmt w:val="bullet"/>
      <w:lvlText w:val="●"/>
      <w:lvlJc w:val="left"/>
      <w:pPr>
        <w:ind w:left="720" w:hanging="360"/>
      </w:pPr>
      <w:rPr>
        <w:rFonts w:ascii="Noto Sans Symbols" w:eastAsia="Noto Sans Symbols" w:hAnsi="Noto Sans Symbols" w:cs="Noto Sans Symbols"/>
        <w:b w:val="0"/>
        <w:bCs w:val="0"/>
        <w:i w:val="0"/>
        <w:iCs w:val="0"/>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C1"/>
    <w:rsid w:val="00140766"/>
    <w:rsid w:val="001A5AB7"/>
    <w:rsid w:val="00287CC1"/>
    <w:rsid w:val="00D15C79"/>
    <w:rsid w:val="00DF7C91"/>
    <w:rsid w:val="00E671AA"/>
    <w:rsid w:val="00F05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2E9F4"/>
  <w15:docId w15:val="{338AB3BE-A155-4EB4-98BC-F11BB0C6E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360" w:after="120"/>
      <w:outlineLvl w:val="2"/>
    </w:pPr>
    <w:rPr>
      <w:b/>
      <w:bCs/>
      <w:sz w:val="28"/>
      <w:szCs w:val="28"/>
    </w:rPr>
  </w:style>
  <w:style w:type="paragraph" w:styleId="Heading4">
    <w:name w:val="heading 4"/>
    <w:basedOn w:val="Normal"/>
    <w:next w:val="Normal"/>
    <w:uiPriority w:val="9"/>
    <w:semiHidden/>
    <w:unhideWhenUsed/>
    <w:qFormat/>
    <w:pPr>
      <w:keepNext/>
      <w:keepLines/>
      <w:spacing w:before="240"/>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outlineLvl w:val="4"/>
    </w:pPr>
    <w:rPr>
      <w:rFonts w:ascii="Times New Roman" w:eastAsia="Times New Roman" w:hAnsi="Times New Roman" w:cs="Times New Roman"/>
      <w:b/>
      <w:bCs/>
      <w:color w:val="000000"/>
    </w:rPr>
  </w:style>
  <w:style w:type="paragraph" w:styleId="Heading6">
    <w:name w:val="heading 6"/>
    <w:basedOn w:val="Normal"/>
    <w:next w:val="Normal"/>
    <w:uiPriority w:val="9"/>
    <w:semiHidden/>
    <w:unhideWhenUsed/>
    <w:qFormat/>
    <w:pPr>
      <w:keepNext/>
      <w:keepLines/>
      <w:spacing w:before="240"/>
      <w:outlineLvl w:val="5"/>
    </w:pPr>
    <w:rPr>
      <w:rFonts w:ascii="Times New Roman" w:eastAsia="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rFonts w:ascii="Arial" w:eastAsia="Arial" w:hAnsi="Arial" w:cs="Arial"/>
      <w:b/>
      <w:bCs/>
      <w:color w:val="3A5877"/>
      <w:sz w:val="40"/>
      <w:szCs w:val="40"/>
    </w:rPr>
  </w:style>
  <w:style w:type="paragraph" w:styleId="Subtitle">
    <w:name w:val="Subtitle"/>
    <w:basedOn w:val="Normal"/>
    <w:next w:val="Normal"/>
    <w:uiPriority w:val="11"/>
    <w:qFormat/>
    <w:pPr>
      <w:keepNext/>
      <w:keepLines/>
      <w:spacing w:after="120"/>
      <w:jc w:val="center"/>
    </w:pPr>
    <w:rPr>
      <w:color w:val="666666"/>
      <w:sz w:val="28"/>
      <w:szCs w:val="28"/>
    </w:rPr>
  </w:style>
  <w:style w:type="paragraph" w:styleId="Header">
    <w:name w:val="header"/>
    <w:basedOn w:val="Normal"/>
    <w:link w:val="HeaderChar"/>
    <w:uiPriority w:val="99"/>
    <w:unhideWhenUsed/>
    <w:rsid w:val="00F05A91"/>
    <w:pPr>
      <w:tabs>
        <w:tab w:val="center" w:pos="4680"/>
        <w:tab w:val="right" w:pos="9360"/>
      </w:tabs>
      <w:spacing w:before="0"/>
    </w:pPr>
  </w:style>
  <w:style w:type="character" w:customStyle="1" w:styleId="HeaderChar">
    <w:name w:val="Header Char"/>
    <w:basedOn w:val="DefaultParagraphFont"/>
    <w:link w:val="Header"/>
    <w:uiPriority w:val="99"/>
    <w:rsid w:val="00F05A91"/>
  </w:style>
  <w:style w:type="paragraph" w:styleId="Footer">
    <w:name w:val="footer"/>
    <w:basedOn w:val="Normal"/>
    <w:link w:val="FooterChar"/>
    <w:uiPriority w:val="99"/>
    <w:unhideWhenUsed/>
    <w:rsid w:val="00F05A91"/>
    <w:pPr>
      <w:tabs>
        <w:tab w:val="center" w:pos="4680"/>
        <w:tab w:val="right" w:pos="9360"/>
      </w:tabs>
      <w:spacing w:before="0"/>
    </w:pPr>
  </w:style>
  <w:style w:type="character" w:customStyle="1" w:styleId="FooterChar">
    <w:name w:val="Footer Char"/>
    <w:basedOn w:val="DefaultParagraphFont"/>
    <w:link w:val="Footer"/>
    <w:uiPriority w:val="99"/>
    <w:rsid w:val="00F05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incs.ed.gov/professional-development/resource-collections/profile-83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danielsongroup.org/userfiles/files/downloads/2013EvaluationInstrument.pdf" TargetMode="External"/><Relationship Id="rId3" Type="http://schemas.openxmlformats.org/officeDocument/2006/relationships/hyperlink" Target="http://leadership.uoregon.edu/resources/exercises_tips/skills/giving_effective_feedback" TargetMode="External"/><Relationship Id="rId7" Type="http://schemas.openxmlformats.org/officeDocument/2006/relationships/hyperlink" Target="http://www.danielsongroup.org/userfiles/files/downloads/2013EvaluationInstrument.pdf" TargetMode="External"/><Relationship Id="rId2" Type="http://schemas.openxmlformats.org/officeDocument/2006/relationships/hyperlink" Target="http://leadership.uoregon.edu/resources/exercises_tips/skills/giving_effective_feedback" TargetMode="External"/><Relationship Id="rId1" Type="http://schemas.openxmlformats.org/officeDocument/2006/relationships/hyperlink" Target="http://leadership.uoregon.edu/resources/exercises_tips/skills/giving_effective_feedback" TargetMode="External"/><Relationship Id="rId6" Type="http://schemas.openxmlformats.org/officeDocument/2006/relationships/hyperlink" Target="http://www.adultedcontentstandards.ed.gov/ReferenceFiles/Guide/Standards_In_Action.pdf" TargetMode="External"/><Relationship Id="rId5" Type="http://schemas.openxmlformats.org/officeDocument/2006/relationships/hyperlink" Target="http://www.adultedcontentstandards.ed.gov/ReferenceFiles/Guide/Standards_In_Action.pdf" TargetMode="External"/><Relationship Id="rId4" Type="http://schemas.openxmlformats.org/officeDocument/2006/relationships/hyperlink" Target="http://www.adultedcontentstandards.ed.gov/ReferenceFiles/Guide/Standards_In_Action.pdf" TargetMode="External"/><Relationship Id="rId9" Type="http://schemas.openxmlformats.org/officeDocument/2006/relationships/hyperlink" Target="http://www.danielsongroup.org/userfiles/files/downloads/2013EvaluationInstru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1pqrqXYsI9I0mmd5ZQk/kL6mw==">CgMxLjAyDmguNXJ4ZzN3dXNlaWVpMg5oLnh1NGN3amJhc3R3YTIOaC5jY2ZlczF2bjR5MG0yDmguc2JlcDg0NTBtcDc5Mg5oLjJvemwzMDd6OHoxdjIOaC5jc2Vzc3A0NWZncnUyDmgueTd1OG41am1kbWJpMg5oLm83NTFvZmt1bDhoeDIOaC5vbnAyMnBwMjZsOHQyDmgudHB3dmN3emlmemM2Mg1oLmJvYzNreWQ1OHJuMg5oLmVkcm5hb2k1ZDZtMzIOaC53bG94Y2tid3BiZzM4AHIhMV9lZkNVcGI2Z2RLOUtrbWNDSVBpWjBSalRjamo1N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EGE: Four Key Coaching Strategies</dc:title>
  <dc:creator>SABES Program Support PD Team</dc:creator>
  <cp:lastModifiedBy>Sovanna Carnell Guyon</cp:lastModifiedBy>
  <cp:revision>4</cp:revision>
  <dcterms:created xsi:type="dcterms:W3CDTF">2026-04-06T19:38:00Z</dcterms:created>
  <dcterms:modified xsi:type="dcterms:W3CDTF">2026-04-24T20:21:00Z</dcterms:modified>
</cp:coreProperties>
</file>